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21FE9">
      <w:pPr>
        <w:widowControl w:val="0"/>
        <w:spacing w:line="550" w:lineRule="exact"/>
        <w:ind w:firstLine="0" w:firstLineChars="0"/>
        <w:jc w:val="center"/>
        <w:rPr>
          <w:rFonts w:hint="eastAsia" w:ascii="黑体" w:hAnsi="黑体" w:eastAsia="黑体" w:cs="黑体"/>
          <w:b/>
          <w:bCs/>
          <w:sz w:val="32"/>
          <w:szCs w:val="32"/>
        </w:rPr>
      </w:pPr>
      <w:r>
        <w:rPr>
          <w:rFonts w:hint="eastAsia" w:ascii="黑体" w:hAnsi="黑体" w:eastAsia="黑体" w:cs="黑体"/>
          <w:sz w:val="44"/>
          <w:szCs w:val="44"/>
        </w:rPr>
        <w:t>江西省教师资格申请人员体检办法（修订）</w:t>
      </w:r>
    </w:p>
    <w:p w14:paraId="668FFCA9">
      <w:pPr>
        <w:pStyle w:val="8"/>
        <w:spacing w:before="0" w:beforeAutospacing="0" w:after="0" w:afterAutospacing="0" w:line="550" w:lineRule="exact"/>
        <w:jc w:val="center"/>
        <w:rPr>
          <w:rFonts w:ascii="&amp;quot" w:hAnsi="&amp;quot"/>
        </w:rPr>
      </w:pPr>
    </w:p>
    <w:p w14:paraId="2D12D066">
      <w:pPr>
        <w:widowControl w:val="0"/>
        <w:spacing w:line="550" w:lineRule="exact"/>
        <w:ind w:firstLine="640"/>
        <w:rPr>
          <w:rFonts w:ascii="仿宋_GB2312" w:eastAsia="仿宋_GB2312"/>
          <w:sz w:val="32"/>
          <w:szCs w:val="32"/>
        </w:rPr>
      </w:pPr>
      <w:r>
        <w:rPr>
          <w:rFonts w:hint="eastAsia" w:ascii="仿宋_GB2312" w:eastAsia="仿宋_GB2312"/>
          <w:sz w:val="32"/>
          <w:szCs w:val="32"/>
        </w:rPr>
        <w:t>根据《教师法》《教师资格条例》及其实施办法、《托儿所幼儿园卫生保健管理办法》以及《关于进一步规范入学和就业体检项目维护乙肝表面抗原携带者入学和就业权利的通知》精神，结合《公务员录用体检通用标准（试行）》和我省实际，特制定本办法。</w:t>
      </w:r>
    </w:p>
    <w:p w14:paraId="66E587CA">
      <w:pPr>
        <w:widowControl w:val="0"/>
        <w:spacing w:line="550" w:lineRule="exact"/>
        <w:ind w:firstLine="640"/>
        <w:rPr>
          <w:rFonts w:ascii="黑体" w:hAnsi="黑体" w:eastAsia="黑体"/>
          <w:sz w:val="32"/>
          <w:szCs w:val="32"/>
        </w:rPr>
      </w:pPr>
      <w:r>
        <w:rPr>
          <w:rFonts w:hint="eastAsia" w:ascii="黑体" w:hAnsi="黑体" w:eastAsia="黑体"/>
          <w:sz w:val="32"/>
          <w:szCs w:val="32"/>
        </w:rPr>
        <w:t>一、体检对象</w:t>
      </w:r>
    </w:p>
    <w:p w14:paraId="23747B85">
      <w:pPr>
        <w:widowControl w:val="0"/>
        <w:spacing w:line="550" w:lineRule="exact"/>
        <w:ind w:firstLine="640"/>
        <w:rPr>
          <w:rFonts w:ascii="仿宋_GB2312" w:eastAsia="仿宋_GB2312"/>
          <w:sz w:val="32"/>
          <w:szCs w:val="32"/>
        </w:rPr>
      </w:pPr>
      <w:r>
        <w:rPr>
          <w:rFonts w:hint="eastAsia" w:ascii="仿宋_GB2312" w:eastAsia="仿宋_GB2312"/>
          <w:sz w:val="32"/>
          <w:szCs w:val="32"/>
        </w:rPr>
        <w:t>在江西省申请认定各级各类教师资格人员。</w:t>
      </w:r>
    </w:p>
    <w:p w14:paraId="24AB3508">
      <w:pPr>
        <w:widowControl w:val="0"/>
        <w:spacing w:line="550" w:lineRule="exact"/>
        <w:ind w:firstLine="640"/>
        <w:rPr>
          <w:rFonts w:ascii="黑体" w:hAnsi="黑体" w:eastAsia="黑体"/>
          <w:sz w:val="32"/>
          <w:szCs w:val="32"/>
        </w:rPr>
      </w:pPr>
      <w:r>
        <w:rPr>
          <w:rFonts w:hint="eastAsia" w:ascii="黑体" w:hAnsi="黑体" w:eastAsia="黑体"/>
          <w:sz w:val="32"/>
          <w:szCs w:val="32"/>
        </w:rPr>
        <w:t>二、体检医院</w:t>
      </w:r>
    </w:p>
    <w:p w14:paraId="196B2F5A">
      <w:pPr>
        <w:widowControl w:val="0"/>
        <w:spacing w:line="550" w:lineRule="exact"/>
        <w:ind w:firstLine="640"/>
        <w:rPr>
          <w:rFonts w:ascii="仿宋_GB2312" w:eastAsia="仿宋_GB2312"/>
          <w:sz w:val="32"/>
          <w:szCs w:val="32"/>
        </w:rPr>
      </w:pPr>
      <w:r>
        <w:rPr>
          <w:rFonts w:hint="eastAsia" w:ascii="仿宋_GB2312" w:eastAsia="仿宋_GB2312"/>
          <w:sz w:val="32"/>
          <w:szCs w:val="32"/>
        </w:rPr>
        <w:t>根据教师资格认定权限，申报认定教师资格人员的体检工作，由各级教师资格认定机构或受委托的高等学校所指定的县级及以上医院负责。</w:t>
      </w:r>
    </w:p>
    <w:p w14:paraId="229E159F">
      <w:pPr>
        <w:pStyle w:val="8"/>
        <w:widowControl w:val="0"/>
        <w:shd w:val="clear" w:color="auto" w:fill="FFFFFF"/>
        <w:spacing w:before="0" w:beforeAutospacing="0" w:after="0" w:afterAutospacing="0" w:line="550" w:lineRule="exact"/>
        <w:ind w:firstLine="640" w:firstLineChars="200"/>
        <w:jc w:val="both"/>
        <w:rPr>
          <w:rFonts w:ascii="黑体" w:hAnsi="黑体" w:eastAsia="黑体"/>
          <w:sz w:val="32"/>
          <w:szCs w:val="32"/>
        </w:rPr>
      </w:pPr>
      <w:r>
        <w:rPr>
          <w:rFonts w:hint="eastAsia" w:ascii="黑体" w:hAnsi="黑体" w:eastAsia="黑体"/>
          <w:sz w:val="32"/>
          <w:szCs w:val="32"/>
        </w:rPr>
        <w:t>三、体检标准</w:t>
      </w:r>
    </w:p>
    <w:p w14:paraId="5D9B84AA">
      <w:pPr>
        <w:pStyle w:val="8"/>
        <w:widowControl w:val="0"/>
        <w:spacing w:before="0" w:beforeAutospacing="0" w:after="0" w:afterAutospacing="0" w:line="550" w:lineRule="exact"/>
        <w:ind w:firstLine="640" w:firstLineChars="200"/>
        <w:jc w:val="both"/>
        <w:rPr>
          <w:rFonts w:ascii="仿宋_GB2312" w:hAnsi="黑体" w:eastAsia="仿宋_GB2312"/>
          <w:sz w:val="32"/>
          <w:szCs w:val="32"/>
        </w:rPr>
      </w:pPr>
      <w:r>
        <w:rPr>
          <w:rFonts w:hint="eastAsia" w:ascii="仿宋_GB2312" w:hAnsi="&amp;quot" w:eastAsia="仿宋_GB2312"/>
          <w:sz w:val="32"/>
          <w:szCs w:val="32"/>
        </w:rPr>
        <w:t>《江西省教师资格申请人员体检标准》（见附件1）。</w:t>
      </w:r>
    </w:p>
    <w:p w14:paraId="4C0B0F0F">
      <w:pPr>
        <w:pStyle w:val="8"/>
        <w:widowControl w:val="0"/>
        <w:shd w:val="clear" w:color="auto" w:fill="FFFFFF"/>
        <w:spacing w:before="0" w:beforeAutospacing="0" w:after="0" w:afterAutospacing="0" w:line="550" w:lineRule="exact"/>
        <w:ind w:firstLine="640" w:firstLineChars="200"/>
        <w:jc w:val="both"/>
        <w:rPr>
          <w:rFonts w:ascii="黑体" w:hAnsi="黑体" w:eastAsia="黑体"/>
          <w:sz w:val="32"/>
          <w:szCs w:val="32"/>
        </w:rPr>
      </w:pPr>
      <w:r>
        <w:rPr>
          <w:rFonts w:hint="eastAsia" w:ascii="黑体" w:hAnsi="黑体" w:eastAsia="黑体"/>
          <w:sz w:val="32"/>
          <w:szCs w:val="32"/>
        </w:rPr>
        <w:t>四、体检用表</w:t>
      </w:r>
    </w:p>
    <w:p w14:paraId="449259A9">
      <w:pPr>
        <w:pStyle w:val="8"/>
        <w:widowControl w:val="0"/>
        <w:spacing w:before="0" w:beforeAutospacing="0" w:after="0" w:afterAutospacing="0" w:line="550" w:lineRule="exact"/>
        <w:ind w:firstLine="640" w:firstLineChars="200"/>
        <w:jc w:val="both"/>
        <w:rPr>
          <w:rFonts w:ascii="仿宋_GB2312" w:hAnsi="&amp;quot" w:eastAsia="仿宋_GB2312"/>
          <w:sz w:val="32"/>
          <w:szCs w:val="32"/>
        </w:rPr>
      </w:pPr>
      <w:r>
        <w:rPr>
          <w:rFonts w:hint="eastAsia" w:ascii="仿宋_GB2312" w:hAnsi="&amp;quot" w:eastAsia="仿宋_GB2312"/>
          <w:sz w:val="32"/>
          <w:szCs w:val="32"/>
        </w:rPr>
        <w:t>《江西省教师资格申请人员体检表》（见附件2）。</w:t>
      </w:r>
    </w:p>
    <w:p w14:paraId="003BF8FB">
      <w:pPr>
        <w:widowControl w:val="0"/>
        <w:spacing w:line="550" w:lineRule="exact"/>
        <w:ind w:firstLine="640"/>
        <w:rPr>
          <w:rFonts w:ascii="黑体" w:hAnsi="黑体" w:eastAsia="黑体"/>
          <w:sz w:val="32"/>
          <w:szCs w:val="32"/>
        </w:rPr>
      </w:pPr>
      <w:r>
        <w:rPr>
          <w:rFonts w:hint="eastAsia" w:ascii="黑体" w:hAnsi="黑体" w:eastAsia="黑体"/>
          <w:sz w:val="32"/>
          <w:szCs w:val="32"/>
        </w:rPr>
        <w:t>五、组织实施</w:t>
      </w:r>
    </w:p>
    <w:p w14:paraId="0A8524F5">
      <w:pPr>
        <w:widowControl w:val="0"/>
        <w:spacing w:line="550" w:lineRule="exact"/>
        <w:ind w:firstLine="643"/>
        <w:rPr>
          <w:rFonts w:ascii="楷体_GB2312" w:eastAsia="楷体_GB2312"/>
          <w:b/>
          <w:sz w:val="32"/>
          <w:szCs w:val="32"/>
        </w:rPr>
      </w:pPr>
      <w:r>
        <w:rPr>
          <w:rFonts w:hint="eastAsia" w:ascii="楷体_GB2312" w:eastAsia="楷体_GB2312"/>
          <w:b/>
          <w:sz w:val="32"/>
          <w:szCs w:val="32"/>
        </w:rPr>
        <w:t>（一）提高认识，加强组织领导</w:t>
      </w:r>
    </w:p>
    <w:p w14:paraId="05B5CD88">
      <w:pPr>
        <w:widowControl w:val="0"/>
        <w:spacing w:line="550" w:lineRule="exact"/>
        <w:ind w:firstLine="640"/>
        <w:rPr>
          <w:rFonts w:ascii="仿宋_GB2312" w:eastAsia="仿宋_GB2312"/>
          <w:sz w:val="32"/>
          <w:szCs w:val="32"/>
        </w:rPr>
      </w:pPr>
      <w:r>
        <w:rPr>
          <w:rFonts w:hint="eastAsia" w:ascii="仿宋_GB2312" w:eastAsia="仿宋_GB2312"/>
          <w:sz w:val="32"/>
          <w:szCs w:val="32"/>
        </w:rPr>
        <w:t>体检是教师资格认定的必须环节，体检合格是申请人通过教师资格认定的必要条件。教师资格认定体检涉及申请人员切身利益，各级教育行政部门和高校要高度重视，成立体检工作领导小组，切实加强体检工作的组织领导。体检工作应与当年教师资格认定工作同步进行，体检结论仅在当年认定教师资格时有效。指定体检医院要安排一名业务副院长具体负责，并选调政治思想素质好、工作责任心强、业务水平高、作风正派的各科医师、护士和工作人员组成体检队伍。</w:t>
      </w:r>
    </w:p>
    <w:p w14:paraId="23C46E0D">
      <w:pPr>
        <w:widowControl w:val="0"/>
        <w:spacing w:line="550" w:lineRule="exact"/>
        <w:ind w:firstLine="643"/>
        <w:rPr>
          <w:rFonts w:ascii="楷体_GB2312" w:eastAsia="楷体_GB2312"/>
          <w:b/>
          <w:sz w:val="32"/>
          <w:szCs w:val="32"/>
        </w:rPr>
      </w:pPr>
      <w:r>
        <w:rPr>
          <w:rFonts w:hint="eastAsia" w:ascii="楷体_GB2312" w:eastAsia="楷体_GB2312"/>
          <w:b/>
          <w:sz w:val="32"/>
          <w:szCs w:val="32"/>
        </w:rPr>
        <w:t>（二）强化培训，落实岗位职责</w:t>
      </w:r>
    </w:p>
    <w:p w14:paraId="3F36BA56">
      <w:pPr>
        <w:widowControl w:val="0"/>
        <w:spacing w:line="550" w:lineRule="exact"/>
        <w:ind w:firstLine="640"/>
        <w:rPr>
          <w:rFonts w:ascii="仿宋_GB2312" w:eastAsia="仿宋_GB2312"/>
          <w:sz w:val="32"/>
          <w:szCs w:val="32"/>
        </w:rPr>
      </w:pPr>
      <w:r>
        <w:rPr>
          <w:rFonts w:hint="eastAsia" w:ascii="仿宋_GB2312" w:eastAsia="仿宋_GB2312"/>
          <w:sz w:val="32"/>
          <w:szCs w:val="32"/>
        </w:rPr>
        <w:t>指定体检医院要在每次体检前，组织相关人员认真学习本体检办法，做好业务培训，签订责任书。</w:t>
      </w:r>
    </w:p>
    <w:p w14:paraId="58D6446D">
      <w:pPr>
        <w:widowControl w:val="0"/>
        <w:spacing w:line="550" w:lineRule="exact"/>
        <w:ind w:firstLine="640"/>
        <w:rPr>
          <w:rFonts w:ascii="仿宋_GB2312" w:eastAsia="仿宋_GB2312"/>
          <w:b/>
          <w:sz w:val="32"/>
          <w:szCs w:val="32"/>
        </w:rPr>
      </w:pPr>
      <w:r>
        <w:rPr>
          <w:rFonts w:hint="eastAsia" w:ascii="仿宋_GB2312" w:eastAsia="仿宋_GB2312"/>
          <w:sz w:val="32"/>
          <w:szCs w:val="32"/>
        </w:rPr>
        <w:t>1.主检医生应具有副主任医师及以上专业技术职称，负责作出申请人是否合格的体检结论。参加体检的各科医生要对本科所检项目负责，如发现阳性体征，一律如实记入体检表内，不得随意涂改；如确须更正的，应在更改的结果上面横腰划一条横杆，使原来的字迹清晰可见，然后在右边写上更改后的诊断或数据，经主检医师签名，并加盖医院公章。</w:t>
      </w:r>
    </w:p>
    <w:p w14:paraId="208B8803">
      <w:pPr>
        <w:widowControl w:val="0"/>
        <w:spacing w:line="550" w:lineRule="exact"/>
        <w:ind w:firstLine="640"/>
        <w:rPr>
          <w:rFonts w:ascii="仿宋_GB2312" w:eastAsia="仿宋_GB2312"/>
          <w:sz w:val="32"/>
          <w:szCs w:val="32"/>
        </w:rPr>
      </w:pPr>
      <w:r>
        <w:rPr>
          <w:rFonts w:hint="eastAsia" w:ascii="仿宋_GB2312" w:eastAsia="仿宋_GB2312"/>
          <w:sz w:val="32"/>
          <w:szCs w:val="32"/>
        </w:rPr>
        <w:t>2.负责体检人员要提前准备好当日检查所需的器材、药液和试剂。器械应及时消毒，仪表要按期校正，试剂要保证其浓度，确保检查结果的准确。</w:t>
      </w:r>
    </w:p>
    <w:p w14:paraId="13578247">
      <w:pPr>
        <w:widowControl w:val="0"/>
        <w:spacing w:line="550" w:lineRule="exact"/>
        <w:ind w:firstLine="643"/>
        <w:rPr>
          <w:rFonts w:ascii="楷体_GB2312" w:eastAsia="楷体_GB2312"/>
          <w:b/>
          <w:sz w:val="32"/>
          <w:szCs w:val="32"/>
        </w:rPr>
      </w:pPr>
      <w:r>
        <w:rPr>
          <w:rFonts w:hint="eastAsia" w:ascii="楷体_GB2312" w:eastAsia="楷体_GB2312"/>
          <w:b/>
          <w:sz w:val="32"/>
          <w:szCs w:val="32"/>
        </w:rPr>
        <w:t>（三）严肃纪律，规范操作流程</w:t>
      </w:r>
    </w:p>
    <w:p w14:paraId="1A11E5E3">
      <w:pPr>
        <w:widowControl w:val="0"/>
        <w:spacing w:line="550" w:lineRule="exact"/>
        <w:ind w:firstLine="640"/>
        <w:rPr>
          <w:rFonts w:ascii="仿宋_GB2312" w:eastAsia="仿宋_GB2312"/>
          <w:sz w:val="32"/>
          <w:szCs w:val="32"/>
        </w:rPr>
      </w:pPr>
      <w:r>
        <w:rPr>
          <w:rFonts w:hint="eastAsia" w:ascii="仿宋_GB2312" w:eastAsia="仿宋_GB2312"/>
          <w:sz w:val="32"/>
          <w:szCs w:val="32"/>
        </w:rPr>
        <w:t>1.体检工作</w:t>
      </w:r>
      <w:r>
        <w:rPr>
          <w:rFonts w:hint="eastAsia" w:ascii="仿宋_GB2312" w:hAnsi="仿宋_GB2312" w:eastAsia="仿宋_GB2312" w:cs="仿宋_GB2312"/>
          <w:sz w:val="32"/>
          <w:szCs w:val="32"/>
        </w:rPr>
        <w:t>必须严格遵守工作纪律和操作规程，</w:t>
      </w:r>
      <w:r>
        <w:rPr>
          <w:rFonts w:hint="eastAsia" w:ascii="仿宋_GB2312" w:eastAsia="仿宋_GB2312"/>
          <w:sz w:val="32"/>
          <w:szCs w:val="32"/>
        </w:rPr>
        <w:t>严防弄虚作假。一旦发现弄虚作假的，取消申请人教师资格认定资格，并对相关责任人严肃处理；体检医院出现严重问题的，相关教师资格认定机构要及时取消其体检资格。</w:t>
      </w:r>
    </w:p>
    <w:p w14:paraId="129B903C">
      <w:pPr>
        <w:widowControl w:val="0"/>
        <w:spacing w:line="550" w:lineRule="exact"/>
        <w:ind w:firstLine="640"/>
        <w:rPr>
          <w:rFonts w:ascii="仿宋_GB2312" w:eastAsia="仿宋_GB2312"/>
          <w:sz w:val="32"/>
          <w:szCs w:val="32"/>
        </w:rPr>
      </w:pPr>
      <w:r>
        <w:rPr>
          <w:rFonts w:hint="eastAsia" w:ascii="仿宋_GB2312" w:eastAsia="仿宋_GB2312"/>
          <w:sz w:val="32"/>
          <w:szCs w:val="32"/>
        </w:rPr>
        <w:t>2.体检过程中，体检表和检验单应指定专人传递和集中保管，按顺序逐个对照检查，严禁申请人自带，以防漏检或作弊。申请人自行取得的任何检查材料，均不得作为教师资格认定体检依据。</w:t>
      </w:r>
    </w:p>
    <w:p w14:paraId="643F64B1">
      <w:pPr>
        <w:widowControl w:val="0"/>
        <w:spacing w:line="550" w:lineRule="exact"/>
        <w:ind w:firstLine="640"/>
        <w:rPr>
          <w:rFonts w:ascii="仿宋_GB2312" w:eastAsia="仿宋_GB2312"/>
          <w:sz w:val="32"/>
          <w:szCs w:val="32"/>
        </w:rPr>
      </w:pPr>
      <w:r>
        <w:rPr>
          <w:rFonts w:hint="eastAsia" w:ascii="仿宋_GB2312" w:eastAsia="仿宋_GB2312"/>
          <w:sz w:val="32"/>
          <w:szCs w:val="32"/>
        </w:rPr>
        <w:t>3.体检中发现有疑难问题，应采取专家集体会诊或进一步检查后由主检医师再作出结论。若因设备条件限制或会诊仍难判断者，应到教师资格认定机构指定的上级医院复查。</w:t>
      </w:r>
    </w:p>
    <w:p w14:paraId="0252A701">
      <w:pPr>
        <w:widowControl w:val="0"/>
        <w:spacing w:line="550" w:lineRule="exact"/>
        <w:ind w:firstLine="640"/>
        <w:rPr>
          <w:rFonts w:ascii="仿宋_GB2312" w:eastAsia="仿宋_GB2312"/>
          <w:sz w:val="32"/>
          <w:szCs w:val="32"/>
        </w:rPr>
      </w:pPr>
      <w:r>
        <w:rPr>
          <w:rFonts w:hint="eastAsia" w:ascii="仿宋_GB2312" w:eastAsia="仿宋_GB2312"/>
          <w:sz w:val="32"/>
          <w:szCs w:val="32"/>
        </w:rPr>
        <w:t xml:space="preserve">4.复查时教师资格认定机构派专人陪同，只对单科进行复查，并使用原体检表。上级医院否定该体检机构的诊断结论时，要在诊断书上详细注明复查结果，情况特殊者要及时告知申请人。复查结果须由教师资格认定机构指派专人取回并交回原体检医院，由原体检医院根据复查结果给予体检结论。 </w:t>
      </w:r>
    </w:p>
    <w:p w14:paraId="66D6CFDE">
      <w:pPr>
        <w:widowControl w:val="0"/>
        <w:spacing w:line="550" w:lineRule="exact"/>
        <w:ind w:firstLine="640"/>
        <w:rPr>
          <w:rFonts w:ascii="仿宋_GB2312" w:eastAsia="仿宋_GB2312"/>
          <w:sz w:val="32"/>
          <w:szCs w:val="32"/>
        </w:rPr>
      </w:pPr>
      <w:r>
        <w:rPr>
          <w:rFonts w:hint="eastAsia" w:ascii="仿宋_GB2312" w:eastAsia="仿宋_GB2312"/>
          <w:sz w:val="32"/>
          <w:szCs w:val="32"/>
        </w:rPr>
        <w:t>5.体检表由教师资格认定机构归档保存，不退还本人。如个别项目需复检，暂不给出体检结论，待复检结果出来后方可完成体检结论。</w:t>
      </w:r>
    </w:p>
    <w:p w14:paraId="5284A425">
      <w:pPr>
        <w:pStyle w:val="8"/>
        <w:widowControl w:val="0"/>
        <w:shd w:val="clear" w:color="auto" w:fill="FFFFFF"/>
        <w:spacing w:before="0" w:beforeAutospacing="0" w:after="0" w:afterAutospacing="0" w:line="550" w:lineRule="exact"/>
        <w:ind w:firstLine="640" w:firstLineChars="200"/>
        <w:jc w:val="both"/>
        <w:rPr>
          <w:rFonts w:ascii="黑体" w:hAnsi="黑体" w:eastAsia="黑体"/>
          <w:sz w:val="32"/>
          <w:szCs w:val="32"/>
        </w:rPr>
      </w:pPr>
      <w:r>
        <w:rPr>
          <w:rFonts w:hint="eastAsia" w:ascii="黑体" w:hAnsi="黑体" w:eastAsia="黑体"/>
          <w:sz w:val="32"/>
          <w:szCs w:val="32"/>
        </w:rPr>
        <w:t>六、体检费用</w:t>
      </w:r>
    </w:p>
    <w:p w14:paraId="200220F1">
      <w:pPr>
        <w:pStyle w:val="8"/>
        <w:widowControl w:val="0"/>
        <w:spacing w:before="0" w:beforeAutospacing="0" w:after="0" w:afterAutospacing="0" w:line="550" w:lineRule="exact"/>
        <w:ind w:firstLine="640" w:firstLineChars="200"/>
        <w:jc w:val="both"/>
        <w:rPr>
          <w:rFonts w:ascii="仿宋_GB2312" w:hAnsi="&amp;quot" w:eastAsia="仿宋_GB2312"/>
          <w:sz w:val="32"/>
          <w:szCs w:val="32"/>
        </w:rPr>
      </w:pPr>
      <w:r>
        <w:rPr>
          <w:rFonts w:hint="eastAsia" w:ascii="仿宋_GB2312" w:hAnsi="&amp;quot" w:eastAsia="仿宋_GB2312"/>
          <w:sz w:val="32"/>
          <w:szCs w:val="32"/>
        </w:rPr>
        <w:t>申请认定教师资格人员体检费用，由负责体检工作的医院按照物价部门核定的收费标准向申请人收取。医院须向申请人公布体检收费标准。</w:t>
      </w:r>
    </w:p>
    <w:p w14:paraId="6382E045">
      <w:pPr>
        <w:widowControl w:val="0"/>
        <w:spacing w:line="550" w:lineRule="exact"/>
        <w:ind w:firstLine="640"/>
        <w:rPr>
          <w:rFonts w:ascii="黑体" w:hAnsi="黑体" w:eastAsia="黑体"/>
          <w:sz w:val="32"/>
          <w:szCs w:val="32"/>
        </w:rPr>
      </w:pPr>
      <w:r>
        <w:rPr>
          <w:rFonts w:hint="eastAsia" w:ascii="黑体" w:hAnsi="黑体" w:eastAsia="黑体"/>
          <w:sz w:val="32"/>
          <w:szCs w:val="32"/>
        </w:rPr>
        <w:t>七、其他事宜</w:t>
      </w:r>
    </w:p>
    <w:p w14:paraId="37D820A9">
      <w:pPr>
        <w:widowControl w:val="0"/>
        <w:spacing w:line="550" w:lineRule="exact"/>
        <w:ind w:firstLine="640"/>
        <w:rPr>
          <w:rFonts w:ascii="仿宋_GB2312" w:eastAsia="仿宋_GB2312"/>
          <w:sz w:val="32"/>
          <w:szCs w:val="32"/>
        </w:rPr>
      </w:pPr>
      <w:r>
        <w:rPr>
          <w:rFonts w:hint="eastAsia" w:ascii="仿宋_GB2312" w:eastAsia="仿宋_GB2312"/>
          <w:sz w:val="32"/>
          <w:szCs w:val="32"/>
        </w:rPr>
        <w:t>本办法由省教育厅负责解释，自颁布之日起施行，原有的体检办法和标准即日起废止。</w:t>
      </w:r>
    </w:p>
    <w:p w14:paraId="12557BC2">
      <w:pPr>
        <w:pStyle w:val="8"/>
        <w:widowControl w:val="0"/>
        <w:spacing w:before="0" w:beforeAutospacing="0" w:after="0" w:afterAutospacing="0" w:line="550" w:lineRule="exact"/>
        <w:ind w:firstLine="640" w:firstLineChars="200"/>
        <w:jc w:val="both"/>
        <w:rPr>
          <w:rFonts w:ascii="仿宋_GB2312" w:hAnsi="&amp;quot" w:eastAsia="仿宋_GB2312"/>
          <w:sz w:val="32"/>
          <w:szCs w:val="32"/>
        </w:rPr>
      </w:pPr>
    </w:p>
    <w:p w14:paraId="75E306E1">
      <w:pPr>
        <w:widowControl w:val="0"/>
        <w:spacing w:line="550" w:lineRule="exact"/>
        <w:ind w:firstLine="640"/>
        <w:rPr>
          <w:rFonts w:ascii="仿宋_GB2312" w:hAnsi="&amp;quot" w:eastAsia="仿宋_GB2312"/>
          <w:sz w:val="32"/>
          <w:szCs w:val="32"/>
        </w:rPr>
      </w:pPr>
      <w:r>
        <w:rPr>
          <w:rFonts w:hint="eastAsia" w:ascii="仿宋_GB2312" w:hAnsi="&amp;quot" w:eastAsia="仿宋_GB2312"/>
          <w:sz w:val="32"/>
          <w:szCs w:val="32"/>
        </w:rPr>
        <w:t>附件：1.江西省教师资格申请人员体检标准</w:t>
      </w:r>
    </w:p>
    <w:p w14:paraId="463EC228">
      <w:pPr>
        <w:widowControl w:val="0"/>
        <w:spacing w:line="550" w:lineRule="exact"/>
        <w:ind w:firstLine="1593" w:firstLineChars="498"/>
        <w:rPr>
          <w:rFonts w:ascii="仿宋_GB2312" w:hAnsi="&amp;quot" w:eastAsia="仿宋_GB2312"/>
          <w:sz w:val="32"/>
          <w:szCs w:val="32"/>
        </w:rPr>
      </w:pPr>
      <w:r>
        <w:rPr>
          <w:rFonts w:hint="eastAsia" w:ascii="仿宋_GB2312" w:hAnsi="&amp;quot" w:eastAsia="仿宋_GB2312"/>
          <w:sz w:val="32"/>
          <w:szCs w:val="32"/>
        </w:rPr>
        <w:t>2.江西省教师资格申请人员体检表</w:t>
      </w:r>
    </w:p>
    <w:p w14:paraId="58FF0EA7">
      <w:pPr>
        <w:widowControl w:val="0"/>
        <w:spacing w:line="550" w:lineRule="exact"/>
        <w:ind w:firstLine="0" w:firstLineChars="0"/>
        <w:rPr>
          <w:rFonts w:ascii="黑体" w:hAnsi="黑体" w:eastAsia="黑体"/>
          <w:sz w:val="32"/>
          <w:szCs w:val="32"/>
        </w:rPr>
      </w:pPr>
      <w:r>
        <w:rPr>
          <w:rFonts w:hint="eastAsia" w:ascii="仿宋_GB2312" w:hAnsi="&amp;quot" w:eastAsia="仿宋_GB2312"/>
          <w:sz w:val="32"/>
          <w:szCs w:val="32"/>
        </w:rPr>
        <w:br w:type="page"/>
      </w:r>
      <w:r>
        <w:rPr>
          <w:rFonts w:hint="eastAsia" w:ascii="黑体" w:hAnsi="黑体" w:eastAsia="黑体"/>
          <w:sz w:val="32"/>
          <w:szCs w:val="32"/>
        </w:rPr>
        <w:t>附件1</w:t>
      </w:r>
    </w:p>
    <w:p w14:paraId="0EE39439">
      <w:pPr>
        <w:spacing w:line="550" w:lineRule="exact"/>
        <w:ind w:firstLine="0" w:firstLineChars="0"/>
        <w:jc w:val="center"/>
        <w:rPr>
          <w:rFonts w:ascii="方正小标宋简体" w:hAnsi="黑体" w:eastAsia="方正小标宋简体"/>
          <w:sz w:val="32"/>
          <w:szCs w:val="32"/>
        </w:rPr>
      </w:pPr>
    </w:p>
    <w:p w14:paraId="527E414A">
      <w:pPr>
        <w:spacing w:line="550" w:lineRule="exact"/>
        <w:ind w:firstLine="0" w:firstLineChars="0"/>
        <w:jc w:val="center"/>
        <w:rPr>
          <w:rFonts w:ascii="方正小标宋简体" w:hAnsi="&amp;quot" w:eastAsia="方正小标宋简体"/>
          <w:sz w:val="44"/>
          <w:szCs w:val="44"/>
        </w:rPr>
      </w:pPr>
      <w:r>
        <w:rPr>
          <w:rFonts w:hint="eastAsia" w:ascii="黑体" w:hAnsi="黑体" w:eastAsia="黑体" w:cs="黑体"/>
          <w:sz w:val="44"/>
          <w:szCs w:val="44"/>
        </w:rPr>
        <w:t>江西省教师资格申请人员体检标准</w:t>
      </w:r>
      <w:bookmarkStart w:id="0" w:name="_GoBack"/>
      <w:bookmarkEnd w:id="0"/>
    </w:p>
    <w:p w14:paraId="35EB1720">
      <w:pPr>
        <w:spacing w:line="550" w:lineRule="exact"/>
        <w:ind w:firstLine="0" w:firstLineChars="0"/>
        <w:jc w:val="center"/>
        <w:rPr>
          <w:rFonts w:ascii="方正小标宋简体" w:hAnsi="&amp;quot" w:eastAsia="方正小标宋简体"/>
          <w:sz w:val="32"/>
          <w:szCs w:val="32"/>
        </w:rPr>
      </w:pPr>
    </w:p>
    <w:p w14:paraId="7D33D321">
      <w:pPr>
        <w:pStyle w:val="8"/>
        <w:widowControl w:val="0"/>
        <w:spacing w:before="0" w:beforeAutospacing="0" w:after="0" w:afterAutospacing="0" w:line="550" w:lineRule="exact"/>
        <w:ind w:firstLine="640" w:firstLineChars="200"/>
        <w:jc w:val="both"/>
        <w:rPr>
          <w:rFonts w:ascii="仿宋_GB2312" w:hAnsi="&amp;quot" w:eastAsia="仿宋_GB2312"/>
          <w:color w:val="000000"/>
          <w:sz w:val="32"/>
          <w:szCs w:val="32"/>
        </w:rPr>
      </w:pPr>
      <w:r>
        <w:rPr>
          <w:rFonts w:hint="eastAsia" w:ascii="仿宋_GB2312" w:hAnsi="&amp;quot" w:eastAsia="仿宋_GB2312"/>
          <w:color w:val="000000"/>
          <w:sz w:val="32"/>
          <w:szCs w:val="32"/>
        </w:rPr>
        <w:t>第一条 风湿性心脏病、心肌病、冠心病、先天性心脏病等器质性心脏病，不合格。先天性心脏病不需手术或经手术治愈的，合格。</w:t>
      </w:r>
    </w:p>
    <w:p w14:paraId="49BD040F">
      <w:pPr>
        <w:pStyle w:val="8"/>
        <w:widowControl w:val="0"/>
        <w:spacing w:before="0" w:beforeAutospacing="0" w:after="0" w:afterAutospacing="0" w:line="550" w:lineRule="exact"/>
        <w:ind w:firstLine="640" w:firstLineChars="200"/>
        <w:jc w:val="both"/>
        <w:rPr>
          <w:rFonts w:ascii="仿宋_GB2312" w:hAnsi="&amp;quot" w:eastAsia="仿宋_GB2312"/>
          <w:color w:val="000000"/>
          <w:sz w:val="32"/>
          <w:szCs w:val="32"/>
        </w:rPr>
      </w:pPr>
      <w:r>
        <w:rPr>
          <w:rFonts w:hint="eastAsia" w:ascii="仿宋_GB2312" w:hAnsi="&amp;quot" w:eastAsia="仿宋_GB2312"/>
          <w:color w:val="000000"/>
          <w:sz w:val="32"/>
          <w:szCs w:val="32"/>
        </w:rPr>
        <w:t>遇有下列情况之一的，排除病理性改变，合格：</w:t>
      </w:r>
    </w:p>
    <w:p w14:paraId="31904C35">
      <w:pPr>
        <w:pStyle w:val="8"/>
        <w:widowControl w:val="0"/>
        <w:spacing w:before="0" w:beforeAutospacing="0" w:after="0" w:afterAutospacing="0" w:line="550" w:lineRule="exact"/>
        <w:ind w:firstLine="640" w:firstLineChars="200"/>
        <w:jc w:val="both"/>
        <w:rPr>
          <w:rFonts w:ascii="仿宋_GB2312" w:hAnsi="&amp;quot" w:eastAsia="仿宋_GB2312"/>
          <w:color w:val="000000"/>
          <w:sz w:val="32"/>
          <w:szCs w:val="32"/>
        </w:rPr>
      </w:pPr>
      <w:r>
        <w:rPr>
          <w:rFonts w:hint="eastAsia" w:ascii="仿宋_GB2312" w:hAnsi="&amp;quot" w:eastAsia="仿宋_GB2312"/>
          <w:color w:val="000000"/>
          <w:sz w:val="32"/>
          <w:szCs w:val="32"/>
        </w:rPr>
        <w:t>（一）心脏听诊有杂音；</w:t>
      </w:r>
    </w:p>
    <w:p w14:paraId="68630261">
      <w:pPr>
        <w:pStyle w:val="8"/>
        <w:widowControl w:val="0"/>
        <w:spacing w:before="0" w:beforeAutospacing="0" w:after="0" w:afterAutospacing="0" w:line="550" w:lineRule="exact"/>
        <w:ind w:firstLine="640" w:firstLineChars="200"/>
        <w:jc w:val="both"/>
        <w:rPr>
          <w:rFonts w:ascii="仿宋_GB2312" w:hAnsi="&amp;quot" w:eastAsia="仿宋_GB2312"/>
          <w:color w:val="000000"/>
          <w:sz w:val="32"/>
          <w:szCs w:val="32"/>
        </w:rPr>
      </w:pPr>
      <w:r>
        <w:rPr>
          <w:rFonts w:hint="eastAsia" w:ascii="仿宋_GB2312" w:hAnsi="&amp;quot" w:eastAsia="仿宋_GB2312"/>
          <w:color w:val="000000"/>
          <w:sz w:val="32"/>
          <w:szCs w:val="32"/>
        </w:rPr>
        <w:t>（二）频发期前收缩；</w:t>
      </w:r>
    </w:p>
    <w:p w14:paraId="598491B0">
      <w:pPr>
        <w:pStyle w:val="8"/>
        <w:widowControl w:val="0"/>
        <w:spacing w:before="0" w:beforeAutospacing="0" w:after="0" w:afterAutospacing="0" w:line="550" w:lineRule="exact"/>
        <w:ind w:firstLine="640" w:firstLineChars="200"/>
        <w:jc w:val="both"/>
        <w:rPr>
          <w:rFonts w:ascii="仿宋_GB2312" w:hAnsi="&amp;quot" w:eastAsia="仿宋_GB2312"/>
          <w:color w:val="000000"/>
          <w:sz w:val="32"/>
          <w:szCs w:val="32"/>
        </w:rPr>
      </w:pPr>
      <w:r>
        <w:rPr>
          <w:rFonts w:hint="eastAsia" w:ascii="仿宋_GB2312" w:hAnsi="&amp;quot" w:eastAsia="仿宋_GB2312"/>
          <w:color w:val="000000"/>
          <w:sz w:val="32"/>
          <w:szCs w:val="32"/>
        </w:rPr>
        <w:t>（三）心率每分钟小于50次或大于110次；</w:t>
      </w:r>
    </w:p>
    <w:p w14:paraId="54945615">
      <w:pPr>
        <w:pStyle w:val="8"/>
        <w:widowControl w:val="0"/>
        <w:spacing w:before="0" w:beforeAutospacing="0" w:after="0" w:afterAutospacing="0" w:line="550" w:lineRule="exact"/>
        <w:ind w:firstLine="640" w:firstLineChars="200"/>
        <w:jc w:val="both"/>
        <w:rPr>
          <w:rFonts w:ascii="仿宋_GB2312" w:hAnsi="&amp;quot" w:eastAsia="仿宋_GB2312"/>
          <w:color w:val="000000"/>
          <w:sz w:val="32"/>
          <w:szCs w:val="32"/>
        </w:rPr>
      </w:pPr>
      <w:r>
        <w:rPr>
          <w:rFonts w:hint="eastAsia" w:ascii="仿宋_GB2312" w:hAnsi="&amp;quot" w:eastAsia="仿宋_GB2312"/>
          <w:color w:val="000000"/>
          <w:sz w:val="32"/>
          <w:szCs w:val="32"/>
        </w:rPr>
        <w:t>（四）心电图有异常的其他情况。</w:t>
      </w:r>
    </w:p>
    <w:p w14:paraId="4560C539">
      <w:pPr>
        <w:pStyle w:val="8"/>
        <w:widowControl w:val="0"/>
        <w:spacing w:before="0" w:beforeAutospacing="0" w:after="0" w:afterAutospacing="0" w:line="550" w:lineRule="exact"/>
        <w:ind w:firstLine="640" w:firstLineChars="200"/>
        <w:jc w:val="both"/>
        <w:rPr>
          <w:rFonts w:ascii="仿宋_GB2312" w:hAnsi="&amp;quot" w:eastAsia="仿宋_GB2312"/>
          <w:color w:val="000000"/>
          <w:sz w:val="32"/>
          <w:szCs w:val="32"/>
        </w:rPr>
      </w:pPr>
      <w:r>
        <w:rPr>
          <w:rFonts w:hint="eastAsia" w:ascii="仿宋_GB2312" w:hAnsi="&amp;quot" w:eastAsia="仿宋_GB2312"/>
          <w:color w:val="000000"/>
          <w:sz w:val="32"/>
          <w:szCs w:val="32"/>
        </w:rPr>
        <w:t>第二条</w:t>
      </w:r>
      <w:r>
        <w:rPr>
          <w:rFonts w:hint="eastAsia" w:ascii="仿宋_GB2312" w:hAnsi="&amp;quot" w:eastAsia="仿宋_GB2312"/>
          <w:b/>
          <w:color w:val="000000"/>
          <w:sz w:val="32"/>
          <w:szCs w:val="32"/>
        </w:rPr>
        <w:t xml:space="preserve"> </w:t>
      </w:r>
      <w:r>
        <w:rPr>
          <w:rFonts w:hint="eastAsia" w:ascii="仿宋_GB2312" w:hAnsi="&amp;quot" w:eastAsia="仿宋_GB2312"/>
          <w:color w:val="000000"/>
          <w:sz w:val="32"/>
          <w:szCs w:val="32"/>
        </w:rPr>
        <w:t>血压在下列范围内，合格：收缩压小于140mmHg；舒张压小于90mmHg。</w:t>
      </w:r>
    </w:p>
    <w:p w14:paraId="48D1D88C">
      <w:pPr>
        <w:pStyle w:val="8"/>
        <w:widowControl w:val="0"/>
        <w:spacing w:before="0" w:beforeAutospacing="0" w:after="0" w:afterAutospacing="0" w:line="550" w:lineRule="exact"/>
        <w:ind w:firstLine="640" w:firstLineChars="200"/>
        <w:jc w:val="both"/>
        <w:rPr>
          <w:rFonts w:ascii="仿宋_GB2312" w:hAnsi="&amp;quot" w:eastAsia="仿宋_GB2312"/>
          <w:color w:val="000000"/>
          <w:sz w:val="32"/>
          <w:szCs w:val="32"/>
        </w:rPr>
      </w:pPr>
      <w:r>
        <w:rPr>
          <w:rFonts w:hint="eastAsia" w:ascii="仿宋_GB2312" w:hAnsi="&amp;quot" w:eastAsia="仿宋_GB2312"/>
          <w:color w:val="000000"/>
          <w:sz w:val="32"/>
          <w:szCs w:val="32"/>
        </w:rPr>
        <w:t>第三条</w:t>
      </w:r>
      <w:r>
        <w:rPr>
          <w:rFonts w:hint="eastAsia" w:ascii="仿宋_GB2312" w:hAnsi="&amp;quot" w:eastAsia="仿宋_GB2312"/>
          <w:b/>
          <w:color w:val="000000"/>
          <w:sz w:val="32"/>
          <w:szCs w:val="32"/>
        </w:rPr>
        <w:t xml:space="preserve"> </w:t>
      </w:r>
      <w:r>
        <w:rPr>
          <w:rFonts w:hint="eastAsia" w:ascii="仿宋_GB2312" w:hAnsi="&amp;quot" w:eastAsia="仿宋_GB2312"/>
          <w:color w:val="000000"/>
          <w:sz w:val="32"/>
          <w:szCs w:val="32"/>
        </w:rPr>
        <w:t>血液系统疾病，不合格。单纯性缺铁性贫血，血红蛋白男性高于90g/L、女性高于80g/L，合格。</w:t>
      </w:r>
    </w:p>
    <w:p w14:paraId="3337D5CF">
      <w:pPr>
        <w:pStyle w:val="8"/>
        <w:widowControl w:val="0"/>
        <w:spacing w:before="0" w:beforeAutospacing="0" w:after="0" w:afterAutospacing="0" w:line="550" w:lineRule="exact"/>
        <w:ind w:firstLine="640" w:firstLineChars="200"/>
        <w:jc w:val="both"/>
        <w:rPr>
          <w:rFonts w:ascii="仿宋_GB2312" w:hAnsi="&amp;quot" w:eastAsia="仿宋_GB2312"/>
          <w:color w:val="000000"/>
          <w:sz w:val="32"/>
          <w:szCs w:val="32"/>
        </w:rPr>
      </w:pPr>
      <w:r>
        <w:rPr>
          <w:rFonts w:hint="eastAsia" w:ascii="仿宋_GB2312" w:hAnsi="&amp;quot" w:eastAsia="仿宋_GB2312"/>
          <w:color w:val="000000"/>
          <w:sz w:val="32"/>
          <w:szCs w:val="32"/>
        </w:rPr>
        <w:t>第四条</w:t>
      </w:r>
      <w:r>
        <w:rPr>
          <w:rFonts w:hint="eastAsia" w:ascii="仿宋_GB2312" w:hAnsi="&amp;quot" w:eastAsia="仿宋_GB2312"/>
          <w:b/>
          <w:color w:val="000000"/>
          <w:sz w:val="32"/>
          <w:szCs w:val="32"/>
        </w:rPr>
        <w:t xml:space="preserve"> </w:t>
      </w:r>
      <w:r>
        <w:rPr>
          <w:rFonts w:hint="eastAsia" w:ascii="仿宋_GB2312" w:hAnsi="&amp;quot" w:eastAsia="仿宋_GB2312"/>
          <w:color w:val="000000"/>
          <w:sz w:val="32"/>
          <w:szCs w:val="32"/>
        </w:rPr>
        <w:t>结核病不合格。但下列情况合格：</w:t>
      </w:r>
    </w:p>
    <w:p w14:paraId="7B8983E4">
      <w:pPr>
        <w:pStyle w:val="8"/>
        <w:widowControl w:val="0"/>
        <w:spacing w:before="0" w:beforeAutospacing="0" w:after="0" w:afterAutospacing="0" w:line="550" w:lineRule="exact"/>
        <w:ind w:firstLine="640" w:firstLineChars="200"/>
        <w:jc w:val="both"/>
        <w:rPr>
          <w:rFonts w:ascii="仿宋_GB2312" w:hAnsi="&amp;quot" w:eastAsia="仿宋_GB2312"/>
          <w:color w:val="000000"/>
          <w:sz w:val="32"/>
          <w:szCs w:val="32"/>
        </w:rPr>
      </w:pPr>
      <w:r>
        <w:rPr>
          <w:rFonts w:hint="eastAsia" w:ascii="仿宋_GB2312" w:hAnsi="&amp;quot" w:eastAsia="仿宋_GB2312"/>
          <w:color w:val="000000"/>
          <w:sz w:val="32"/>
          <w:szCs w:val="32"/>
        </w:rPr>
        <w:t>（一）原发性肺结核、继发性肺结核、结核性胸膜炎，临床治愈后稳定1年无变化；</w:t>
      </w:r>
    </w:p>
    <w:p w14:paraId="08E92D41">
      <w:pPr>
        <w:pStyle w:val="8"/>
        <w:widowControl w:val="0"/>
        <w:spacing w:before="0" w:beforeAutospacing="0" w:after="0" w:afterAutospacing="0" w:line="550" w:lineRule="exact"/>
        <w:ind w:firstLine="640" w:firstLineChars="200"/>
        <w:jc w:val="both"/>
        <w:rPr>
          <w:rFonts w:ascii="仿宋_GB2312" w:hAnsi="&amp;quot" w:eastAsia="仿宋_GB2312"/>
          <w:color w:val="000000"/>
          <w:sz w:val="32"/>
          <w:szCs w:val="32"/>
        </w:rPr>
      </w:pPr>
      <w:r>
        <w:rPr>
          <w:rFonts w:hint="eastAsia" w:ascii="仿宋_GB2312" w:hAnsi="&amp;quot" w:eastAsia="仿宋_GB2312"/>
          <w:color w:val="000000"/>
          <w:sz w:val="32"/>
          <w:szCs w:val="32"/>
        </w:rPr>
        <w:t>（二）肺外结核病：肾结核、骨结核、腹膜结核、淋巴结核等，临床治愈后2年无复发，经专科医院检查无变化。</w:t>
      </w:r>
    </w:p>
    <w:p w14:paraId="0A39AD3B">
      <w:pPr>
        <w:pStyle w:val="8"/>
        <w:widowControl w:val="0"/>
        <w:spacing w:before="0" w:beforeAutospacing="0" w:after="0" w:afterAutospacing="0" w:line="550" w:lineRule="exact"/>
        <w:ind w:firstLine="640" w:firstLineChars="200"/>
        <w:jc w:val="both"/>
        <w:rPr>
          <w:rFonts w:ascii="仿宋_GB2312" w:hAnsi="&amp;quot" w:eastAsia="仿宋_GB2312"/>
          <w:color w:val="000000"/>
          <w:sz w:val="32"/>
          <w:szCs w:val="32"/>
        </w:rPr>
      </w:pPr>
      <w:r>
        <w:rPr>
          <w:rFonts w:hint="eastAsia" w:ascii="仿宋_GB2312" w:hAnsi="&amp;quot" w:eastAsia="仿宋_GB2312"/>
          <w:color w:val="000000"/>
          <w:sz w:val="32"/>
          <w:szCs w:val="32"/>
        </w:rPr>
        <w:t>第五条</w:t>
      </w:r>
      <w:r>
        <w:rPr>
          <w:rFonts w:hint="eastAsia" w:ascii="仿宋_GB2312" w:hAnsi="&amp;quot" w:eastAsia="仿宋_GB2312"/>
          <w:b/>
          <w:color w:val="000000"/>
          <w:sz w:val="32"/>
          <w:szCs w:val="32"/>
        </w:rPr>
        <w:t xml:space="preserve"> </w:t>
      </w:r>
      <w:r>
        <w:rPr>
          <w:rFonts w:hint="eastAsia" w:ascii="仿宋_GB2312" w:hAnsi="&amp;quot" w:eastAsia="仿宋_GB2312"/>
          <w:color w:val="000000"/>
          <w:sz w:val="32"/>
          <w:szCs w:val="32"/>
        </w:rPr>
        <w:t>慢性支气管炎伴阻塞性肺气肿、严重支气管扩张、严重支气管哮喘，不合格。</w:t>
      </w:r>
    </w:p>
    <w:p w14:paraId="00DE9FFF">
      <w:pPr>
        <w:pStyle w:val="8"/>
        <w:widowControl w:val="0"/>
        <w:spacing w:before="0" w:beforeAutospacing="0" w:after="0" w:afterAutospacing="0" w:line="550" w:lineRule="exact"/>
        <w:ind w:firstLine="640" w:firstLineChars="200"/>
        <w:jc w:val="both"/>
        <w:rPr>
          <w:rFonts w:ascii="仿宋_GB2312" w:hAnsi="&amp;quot" w:eastAsia="仿宋_GB2312"/>
          <w:color w:val="000000"/>
          <w:sz w:val="32"/>
          <w:szCs w:val="32"/>
        </w:rPr>
      </w:pPr>
      <w:r>
        <w:rPr>
          <w:rFonts w:hint="eastAsia" w:ascii="仿宋_GB2312" w:hAnsi="&amp;quot" w:eastAsia="仿宋_GB2312"/>
          <w:color w:val="000000"/>
          <w:sz w:val="32"/>
          <w:szCs w:val="32"/>
        </w:rPr>
        <w:t>第六条</w:t>
      </w:r>
      <w:r>
        <w:rPr>
          <w:rFonts w:hint="eastAsia" w:ascii="仿宋_GB2312" w:hAnsi="&amp;quot" w:eastAsia="仿宋_GB2312"/>
          <w:b/>
          <w:color w:val="000000"/>
          <w:sz w:val="32"/>
          <w:szCs w:val="32"/>
        </w:rPr>
        <w:t xml:space="preserve"> </w:t>
      </w:r>
      <w:r>
        <w:rPr>
          <w:rFonts w:hint="eastAsia" w:ascii="仿宋_GB2312" w:hAnsi="&amp;quot" w:eastAsia="仿宋_GB2312"/>
          <w:color w:val="000000"/>
          <w:sz w:val="32"/>
          <w:szCs w:val="32"/>
        </w:rPr>
        <w:t>慢性胰腺炎、溃疡性结肠炎、克罗恩病等严重慢性消化系统疾病，不合格。胃次全切除术后无严重并发症，合格。</w:t>
      </w:r>
    </w:p>
    <w:p w14:paraId="3CF259A9">
      <w:pPr>
        <w:pStyle w:val="8"/>
        <w:widowControl w:val="0"/>
        <w:spacing w:before="0" w:beforeAutospacing="0" w:after="0" w:afterAutospacing="0" w:line="550" w:lineRule="exact"/>
        <w:ind w:firstLine="640" w:firstLineChars="200"/>
        <w:jc w:val="both"/>
        <w:rPr>
          <w:rFonts w:ascii="仿宋_GB2312" w:hAnsi="&amp;quot" w:eastAsia="仿宋_GB2312"/>
          <w:color w:val="000000"/>
          <w:sz w:val="32"/>
          <w:szCs w:val="32"/>
        </w:rPr>
      </w:pPr>
      <w:r>
        <w:rPr>
          <w:rFonts w:hint="eastAsia" w:ascii="仿宋_GB2312" w:hAnsi="&amp;quot" w:eastAsia="仿宋_GB2312"/>
          <w:color w:val="000000"/>
          <w:sz w:val="32"/>
          <w:szCs w:val="32"/>
        </w:rPr>
        <w:t>第七条 各种急慢性肝炎及肝硬化，不合格。</w:t>
      </w:r>
    </w:p>
    <w:p w14:paraId="0A7767FA">
      <w:pPr>
        <w:pStyle w:val="8"/>
        <w:widowControl w:val="0"/>
        <w:spacing w:before="0" w:beforeAutospacing="0" w:after="0" w:afterAutospacing="0" w:line="550" w:lineRule="exact"/>
        <w:ind w:firstLine="640" w:firstLineChars="200"/>
        <w:jc w:val="both"/>
        <w:rPr>
          <w:rFonts w:ascii="仿宋_GB2312" w:hAnsi="&amp;quot" w:eastAsia="仿宋_GB2312"/>
          <w:color w:val="000000"/>
          <w:sz w:val="32"/>
          <w:szCs w:val="32"/>
        </w:rPr>
      </w:pPr>
      <w:r>
        <w:rPr>
          <w:rFonts w:hint="eastAsia" w:ascii="仿宋_GB2312" w:hAnsi="&amp;quot" w:eastAsia="仿宋_GB2312"/>
          <w:color w:val="000000"/>
          <w:sz w:val="32"/>
          <w:szCs w:val="32"/>
        </w:rPr>
        <w:t>第八条 恶性肿瘤，不合格。</w:t>
      </w:r>
    </w:p>
    <w:p w14:paraId="5C9002A8">
      <w:pPr>
        <w:pStyle w:val="8"/>
        <w:widowControl w:val="0"/>
        <w:spacing w:before="0" w:beforeAutospacing="0" w:after="0" w:afterAutospacing="0" w:line="550" w:lineRule="exact"/>
        <w:ind w:firstLine="640" w:firstLineChars="200"/>
        <w:jc w:val="both"/>
        <w:rPr>
          <w:rFonts w:ascii="仿宋_GB2312" w:hAnsi="&amp;quot" w:eastAsia="仿宋_GB2312"/>
          <w:color w:val="000000"/>
          <w:sz w:val="32"/>
          <w:szCs w:val="32"/>
        </w:rPr>
      </w:pPr>
      <w:r>
        <w:rPr>
          <w:rFonts w:hint="eastAsia" w:ascii="仿宋_GB2312" w:hAnsi="&amp;quot" w:eastAsia="仿宋_GB2312"/>
          <w:color w:val="000000"/>
          <w:sz w:val="32"/>
          <w:szCs w:val="32"/>
        </w:rPr>
        <w:t>第</w:t>
      </w:r>
      <w:r>
        <w:rPr>
          <w:rFonts w:hint="eastAsia" w:ascii="仿宋_GB2312" w:hAnsi="&amp;quot" w:eastAsia="仿宋_GB2312"/>
          <w:color w:val="000000"/>
          <w:spacing w:val="-6"/>
          <w:sz w:val="32"/>
          <w:szCs w:val="32"/>
        </w:rPr>
        <w:t>九条 肾炎、慢性肾盂肾炎、多囊肾、肾功能不全，不合格</w:t>
      </w:r>
      <w:r>
        <w:rPr>
          <w:rFonts w:hint="eastAsia" w:ascii="仿宋_GB2312" w:hAnsi="&amp;quot" w:eastAsia="仿宋_GB2312"/>
          <w:color w:val="000000"/>
          <w:sz w:val="32"/>
          <w:szCs w:val="32"/>
        </w:rPr>
        <w:t>。</w:t>
      </w:r>
    </w:p>
    <w:p w14:paraId="0DD9AF08">
      <w:pPr>
        <w:pStyle w:val="8"/>
        <w:widowControl w:val="0"/>
        <w:spacing w:before="0" w:beforeAutospacing="0" w:after="0" w:afterAutospacing="0" w:line="550" w:lineRule="exact"/>
        <w:ind w:firstLine="640" w:firstLineChars="200"/>
        <w:jc w:val="both"/>
        <w:rPr>
          <w:rFonts w:ascii="仿宋_GB2312" w:hAnsi="&amp;quot" w:eastAsia="仿宋_GB2312"/>
          <w:color w:val="000000"/>
          <w:sz w:val="32"/>
          <w:szCs w:val="32"/>
        </w:rPr>
      </w:pPr>
      <w:r>
        <w:rPr>
          <w:rFonts w:hint="eastAsia" w:ascii="仿宋_GB2312" w:hAnsi="&amp;quot" w:eastAsia="仿宋_GB2312"/>
          <w:color w:val="000000"/>
          <w:sz w:val="32"/>
          <w:szCs w:val="32"/>
        </w:rPr>
        <w:t>第十条</w:t>
      </w:r>
      <w:r>
        <w:rPr>
          <w:rFonts w:hint="eastAsia" w:ascii="仿宋_GB2312" w:hAnsi="&amp;quot" w:eastAsia="仿宋_GB2312"/>
          <w:b/>
          <w:color w:val="000000"/>
          <w:sz w:val="32"/>
          <w:szCs w:val="32"/>
        </w:rPr>
        <w:t xml:space="preserve"> </w:t>
      </w:r>
      <w:r>
        <w:rPr>
          <w:rFonts w:hint="eastAsia" w:ascii="仿宋_GB2312" w:hAnsi="&amp;quot" w:eastAsia="仿宋_GB2312"/>
          <w:color w:val="000000"/>
          <w:sz w:val="32"/>
          <w:szCs w:val="32"/>
        </w:rPr>
        <w:t>糖尿病伴心、脑、肾、眼及末梢循环等其他器官功能严重受损，尿崩症、肢端肥大症等内分泌系统疾病，不合格。甲状腺功能亢进治愈后1年无症状和体征，合格。</w:t>
      </w:r>
    </w:p>
    <w:p w14:paraId="577E2288">
      <w:pPr>
        <w:pStyle w:val="8"/>
        <w:widowControl w:val="0"/>
        <w:spacing w:before="0" w:beforeAutospacing="0" w:after="0" w:afterAutospacing="0" w:line="550" w:lineRule="exact"/>
        <w:ind w:firstLine="640" w:firstLineChars="200"/>
        <w:jc w:val="both"/>
        <w:rPr>
          <w:rFonts w:ascii="仿宋_GB2312" w:hAnsi="&amp;quot" w:eastAsia="仿宋_GB2312"/>
          <w:color w:val="000000"/>
          <w:sz w:val="32"/>
          <w:szCs w:val="32"/>
        </w:rPr>
      </w:pPr>
      <w:r>
        <w:rPr>
          <w:rFonts w:hint="eastAsia" w:ascii="仿宋_GB2312" w:hAnsi="&amp;quot" w:eastAsia="仿宋_GB2312"/>
          <w:color w:val="000000"/>
          <w:sz w:val="32"/>
          <w:szCs w:val="32"/>
        </w:rPr>
        <w:t>第十一条</w:t>
      </w:r>
      <w:r>
        <w:rPr>
          <w:rFonts w:hint="eastAsia" w:ascii="仿宋_GB2312" w:hAnsi="&amp;quot" w:eastAsia="仿宋_GB2312"/>
          <w:b/>
          <w:color w:val="000000"/>
          <w:sz w:val="32"/>
          <w:szCs w:val="32"/>
        </w:rPr>
        <w:t xml:space="preserve"> </w:t>
      </w:r>
      <w:r>
        <w:rPr>
          <w:rFonts w:hint="eastAsia" w:ascii="仿宋_GB2312" w:hAnsi="&amp;quot" w:eastAsia="仿宋_GB2312"/>
          <w:color w:val="000000"/>
          <w:sz w:val="32"/>
          <w:szCs w:val="32"/>
        </w:rPr>
        <w:t>有癫痫病史、精神病史、癔病史、严重的神经官能症（经常头痛头晕、失眠、记忆力明显下降等），精神活性物质滥用和依赖，不合格。</w:t>
      </w:r>
    </w:p>
    <w:p w14:paraId="2B7AB840">
      <w:pPr>
        <w:pStyle w:val="8"/>
        <w:widowControl w:val="0"/>
        <w:spacing w:before="0" w:beforeAutospacing="0" w:after="0" w:afterAutospacing="0" w:line="550" w:lineRule="exact"/>
        <w:ind w:firstLine="640" w:firstLineChars="200"/>
        <w:jc w:val="both"/>
        <w:rPr>
          <w:rFonts w:ascii="仿宋_GB2312" w:hAnsi="&amp;quot" w:eastAsia="仿宋_GB2312"/>
          <w:color w:val="000000"/>
          <w:sz w:val="32"/>
          <w:szCs w:val="32"/>
        </w:rPr>
      </w:pPr>
      <w:r>
        <w:rPr>
          <w:rFonts w:hint="eastAsia" w:ascii="仿宋_GB2312" w:hAnsi="&amp;quot" w:eastAsia="仿宋_GB2312"/>
          <w:color w:val="000000"/>
          <w:sz w:val="32"/>
          <w:szCs w:val="32"/>
        </w:rPr>
        <w:t>第十二条 红斑狼疮、皮肌炎和多发性肌炎、硬皮病、结节性多动脉炎、类风湿性关节炎等各种弥漫性结缔组织疾病，大动脉炎，不合格。</w:t>
      </w:r>
    </w:p>
    <w:p w14:paraId="18AED2FA">
      <w:pPr>
        <w:pStyle w:val="8"/>
        <w:widowControl w:val="0"/>
        <w:spacing w:before="0" w:beforeAutospacing="0" w:after="0" w:afterAutospacing="0" w:line="550" w:lineRule="exact"/>
        <w:ind w:firstLine="640" w:firstLineChars="200"/>
        <w:jc w:val="both"/>
        <w:rPr>
          <w:rFonts w:ascii="仿宋_GB2312" w:hAnsi="&amp;quot" w:eastAsia="仿宋_GB2312"/>
          <w:color w:val="000000"/>
          <w:sz w:val="32"/>
          <w:szCs w:val="32"/>
        </w:rPr>
      </w:pPr>
      <w:r>
        <w:rPr>
          <w:rFonts w:hint="eastAsia" w:ascii="仿宋_GB2312" w:hAnsi="&amp;quot" w:eastAsia="仿宋_GB2312"/>
          <w:color w:val="000000"/>
          <w:sz w:val="32"/>
          <w:szCs w:val="32"/>
        </w:rPr>
        <w:t>第十三条 晚期血吸虫病，晚期血丝虫病兼有橡皮肿或有乳糜尿，不合格。</w:t>
      </w:r>
    </w:p>
    <w:p w14:paraId="753FBBE7">
      <w:pPr>
        <w:pStyle w:val="8"/>
        <w:widowControl w:val="0"/>
        <w:spacing w:before="0" w:beforeAutospacing="0" w:after="0" w:afterAutospacing="0" w:line="550" w:lineRule="exact"/>
        <w:ind w:firstLine="640" w:firstLineChars="200"/>
        <w:jc w:val="both"/>
        <w:rPr>
          <w:rFonts w:ascii="仿宋_GB2312" w:hAnsi="&amp;quot" w:eastAsia="仿宋_GB2312"/>
          <w:color w:val="000000"/>
          <w:sz w:val="32"/>
          <w:szCs w:val="32"/>
        </w:rPr>
      </w:pPr>
      <w:r>
        <w:rPr>
          <w:rFonts w:hint="eastAsia" w:ascii="仿宋_GB2312" w:hAnsi="&amp;quot" w:eastAsia="仿宋_GB2312"/>
          <w:color w:val="000000"/>
          <w:sz w:val="32"/>
          <w:szCs w:val="32"/>
        </w:rPr>
        <w:t>第十四条 颅骨缺损、颅内异物存留、颅脑畸形、脑外伤后综合征，不合格。</w:t>
      </w:r>
    </w:p>
    <w:p w14:paraId="0B42E361">
      <w:pPr>
        <w:pStyle w:val="8"/>
        <w:widowControl w:val="0"/>
        <w:spacing w:before="0" w:beforeAutospacing="0" w:after="0" w:afterAutospacing="0" w:line="550" w:lineRule="exact"/>
        <w:ind w:firstLine="640" w:firstLineChars="200"/>
        <w:jc w:val="both"/>
        <w:rPr>
          <w:rFonts w:ascii="仿宋_GB2312" w:hAnsi="&amp;quot" w:eastAsia="仿宋_GB2312"/>
          <w:color w:val="000000"/>
          <w:sz w:val="32"/>
          <w:szCs w:val="32"/>
        </w:rPr>
      </w:pPr>
      <w:r>
        <w:rPr>
          <w:rFonts w:hint="eastAsia" w:ascii="仿宋_GB2312" w:hAnsi="&amp;quot" w:eastAsia="仿宋_GB2312"/>
          <w:color w:val="000000"/>
          <w:sz w:val="32"/>
          <w:szCs w:val="32"/>
        </w:rPr>
        <w:t>第十五条</w:t>
      </w:r>
      <w:r>
        <w:rPr>
          <w:rFonts w:hint="eastAsia" w:ascii="仿宋_GB2312" w:hAnsi="&amp;quot" w:eastAsia="仿宋_GB2312"/>
          <w:b/>
          <w:color w:val="000000"/>
          <w:sz w:val="32"/>
          <w:szCs w:val="32"/>
        </w:rPr>
        <w:t xml:space="preserve"> </w:t>
      </w:r>
      <w:r>
        <w:rPr>
          <w:rFonts w:hint="eastAsia" w:ascii="仿宋_GB2312" w:hAnsi="&amp;quot" w:eastAsia="仿宋_GB2312"/>
          <w:color w:val="000000"/>
          <w:sz w:val="32"/>
          <w:szCs w:val="32"/>
        </w:rPr>
        <w:t>严重的慢性骨髓炎，不合格。</w:t>
      </w:r>
    </w:p>
    <w:p w14:paraId="61D40339">
      <w:pPr>
        <w:pStyle w:val="8"/>
        <w:widowControl w:val="0"/>
        <w:spacing w:before="0" w:beforeAutospacing="0" w:after="0" w:afterAutospacing="0" w:line="550" w:lineRule="exact"/>
        <w:ind w:firstLine="640" w:firstLineChars="200"/>
        <w:jc w:val="both"/>
        <w:rPr>
          <w:rFonts w:ascii="仿宋_GB2312" w:hAnsi="&amp;quot" w:eastAsia="仿宋_GB2312"/>
          <w:color w:val="000000"/>
          <w:sz w:val="32"/>
          <w:szCs w:val="32"/>
        </w:rPr>
      </w:pPr>
      <w:r>
        <w:rPr>
          <w:rFonts w:hint="eastAsia" w:ascii="仿宋_GB2312" w:hAnsi="&amp;quot" w:eastAsia="仿宋_GB2312"/>
          <w:color w:val="000000"/>
          <w:sz w:val="32"/>
          <w:szCs w:val="32"/>
        </w:rPr>
        <w:t>第十六条</w:t>
      </w:r>
      <w:r>
        <w:rPr>
          <w:rFonts w:hint="eastAsia" w:ascii="仿宋_GB2312" w:hAnsi="&amp;quot" w:eastAsia="仿宋_GB2312"/>
          <w:b/>
          <w:color w:val="000000"/>
          <w:sz w:val="32"/>
          <w:szCs w:val="32"/>
        </w:rPr>
        <w:t xml:space="preserve"> </w:t>
      </w:r>
      <w:r>
        <w:rPr>
          <w:rFonts w:hint="eastAsia" w:ascii="仿宋_GB2312" w:hAnsi="&amp;quot" w:eastAsia="仿宋_GB2312"/>
          <w:color w:val="000000"/>
          <w:sz w:val="32"/>
          <w:szCs w:val="32"/>
        </w:rPr>
        <w:t>三度单纯性甲状腺肿，不合格。</w:t>
      </w:r>
    </w:p>
    <w:p w14:paraId="615C5FE8">
      <w:pPr>
        <w:pStyle w:val="8"/>
        <w:widowControl w:val="0"/>
        <w:spacing w:before="0" w:beforeAutospacing="0" w:after="0" w:afterAutospacing="0" w:line="550" w:lineRule="exact"/>
        <w:ind w:firstLine="640" w:firstLineChars="200"/>
        <w:jc w:val="both"/>
        <w:rPr>
          <w:rFonts w:ascii="仿宋_GB2312" w:hAnsi="&amp;quot" w:eastAsia="仿宋_GB2312"/>
          <w:color w:val="000000"/>
          <w:sz w:val="32"/>
          <w:szCs w:val="32"/>
        </w:rPr>
      </w:pPr>
      <w:r>
        <w:rPr>
          <w:rFonts w:hint="eastAsia" w:ascii="仿宋_GB2312" w:hAnsi="&amp;quot" w:eastAsia="仿宋_GB2312"/>
          <w:color w:val="000000"/>
          <w:sz w:val="32"/>
          <w:szCs w:val="32"/>
        </w:rPr>
        <w:t>第十七条 有梗阻的胆结石或泌尿系结石，不合格。</w:t>
      </w:r>
    </w:p>
    <w:p w14:paraId="26C40B56">
      <w:pPr>
        <w:pStyle w:val="8"/>
        <w:widowControl w:val="0"/>
        <w:spacing w:before="0" w:beforeAutospacing="0" w:after="0" w:afterAutospacing="0" w:line="550" w:lineRule="exact"/>
        <w:ind w:firstLine="640" w:firstLineChars="200"/>
        <w:jc w:val="both"/>
        <w:rPr>
          <w:rFonts w:ascii="仿宋_GB2312" w:hAnsi="&amp;quot" w:eastAsia="仿宋_GB2312"/>
          <w:color w:val="000000"/>
          <w:sz w:val="32"/>
          <w:szCs w:val="32"/>
        </w:rPr>
      </w:pPr>
      <w:r>
        <w:rPr>
          <w:rFonts w:hint="eastAsia" w:ascii="仿宋_GB2312" w:hAnsi="&amp;quot" w:eastAsia="仿宋_GB2312"/>
          <w:color w:val="000000"/>
          <w:sz w:val="32"/>
          <w:szCs w:val="32"/>
        </w:rPr>
        <w:t>第十八条</w:t>
      </w:r>
      <w:r>
        <w:rPr>
          <w:rFonts w:hint="eastAsia" w:ascii="仿宋_GB2312" w:hAnsi="&amp;quot" w:eastAsia="仿宋_GB2312"/>
          <w:b/>
          <w:color w:val="000000"/>
          <w:sz w:val="32"/>
          <w:szCs w:val="32"/>
        </w:rPr>
        <w:t xml:space="preserve"> </w:t>
      </w:r>
      <w:r>
        <w:rPr>
          <w:rFonts w:hint="eastAsia" w:ascii="仿宋_GB2312" w:hAnsi="&amp;quot" w:eastAsia="仿宋_GB2312"/>
          <w:color w:val="000000"/>
          <w:sz w:val="32"/>
          <w:szCs w:val="32"/>
        </w:rPr>
        <w:t>淋病、梅毒、软下疳、性病性淋巴肉芽肿、尖锐湿疣、生殖器疱疹，艾滋病，不合格。</w:t>
      </w:r>
    </w:p>
    <w:p w14:paraId="6B8FAA2C">
      <w:pPr>
        <w:pStyle w:val="8"/>
        <w:widowControl w:val="0"/>
        <w:spacing w:before="0" w:beforeAutospacing="0" w:after="0" w:afterAutospacing="0" w:line="550" w:lineRule="exact"/>
        <w:ind w:firstLine="640" w:firstLineChars="200"/>
        <w:jc w:val="both"/>
        <w:rPr>
          <w:rFonts w:ascii="仿宋_GB2312" w:hAnsi="&amp;quot" w:eastAsia="仿宋_GB2312"/>
          <w:color w:val="000000"/>
          <w:sz w:val="32"/>
          <w:szCs w:val="32"/>
        </w:rPr>
      </w:pPr>
      <w:r>
        <w:rPr>
          <w:rFonts w:hint="eastAsia" w:ascii="仿宋_GB2312" w:hAnsi="&amp;quot" w:eastAsia="仿宋_GB2312"/>
          <w:color w:val="000000"/>
          <w:sz w:val="32"/>
          <w:szCs w:val="32"/>
        </w:rPr>
        <w:t>第十九条</w:t>
      </w:r>
      <w:r>
        <w:rPr>
          <w:rFonts w:hint="eastAsia" w:ascii="仿宋_GB2312" w:hAnsi="&amp;quot" w:eastAsia="仿宋_GB2312"/>
          <w:b/>
          <w:color w:val="000000"/>
          <w:sz w:val="32"/>
          <w:szCs w:val="32"/>
        </w:rPr>
        <w:t xml:space="preserve"> </w:t>
      </w:r>
      <w:r>
        <w:rPr>
          <w:rFonts w:hint="eastAsia" w:ascii="仿宋_GB2312" w:hAnsi="&amp;quot" w:eastAsia="仿宋_GB2312"/>
          <w:color w:val="000000"/>
          <w:sz w:val="32"/>
          <w:szCs w:val="32"/>
        </w:rPr>
        <w:t>双眼矫正视力均低于4.8（小数视力0.6），一眼失明另一眼矫正视力低于4.9（小数视力0.8），有明显视功能损害眼病，不合格。</w:t>
      </w:r>
    </w:p>
    <w:p w14:paraId="061F0A35">
      <w:pPr>
        <w:pStyle w:val="8"/>
        <w:widowControl w:val="0"/>
        <w:spacing w:before="0" w:beforeAutospacing="0" w:after="0" w:afterAutospacing="0" w:line="550" w:lineRule="exact"/>
        <w:ind w:firstLine="640" w:firstLineChars="200"/>
        <w:jc w:val="both"/>
        <w:rPr>
          <w:rFonts w:ascii="仿宋_GB2312" w:hAnsi="&amp;quot" w:eastAsia="仿宋_GB2312"/>
          <w:color w:val="000000"/>
          <w:sz w:val="32"/>
          <w:szCs w:val="32"/>
        </w:rPr>
      </w:pPr>
      <w:r>
        <w:rPr>
          <w:rFonts w:hint="eastAsia" w:ascii="仿宋_GB2312" w:hAnsi="&amp;quot" w:eastAsia="仿宋_GB2312"/>
          <w:color w:val="000000"/>
          <w:sz w:val="32"/>
          <w:szCs w:val="32"/>
        </w:rPr>
        <w:t>第二十条 轻度色觉异常（俗称色弱）和色觉异常П度（俗称色盲），申请幼儿园教师资格或任教学科为学前教育、体育教育、心理学等的，不合格；色觉异常П度，申请任教学科为美术类、艺术设计类等的，不合格。</w:t>
      </w:r>
    </w:p>
    <w:p w14:paraId="5CD45C4B">
      <w:pPr>
        <w:pStyle w:val="8"/>
        <w:widowControl w:val="0"/>
        <w:spacing w:before="0" w:beforeAutospacing="0" w:after="0" w:afterAutospacing="0" w:line="550" w:lineRule="exact"/>
        <w:ind w:firstLine="640" w:firstLineChars="200"/>
        <w:jc w:val="both"/>
        <w:rPr>
          <w:rFonts w:ascii="仿宋_GB2312" w:hAnsi="&amp;quot" w:eastAsia="仿宋_GB2312"/>
          <w:color w:val="000000"/>
          <w:sz w:val="32"/>
          <w:szCs w:val="32"/>
        </w:rPr>
      </w:pPr>
      <w:r>
        <w:rPr>
          <w:rFonts w:hint="eastAsia" w:ascii="仿宋_GB2312" w:hAnsi="&amp;quot" w:eastAsia="仿宋_GB2312"/>
          <w:color w:val="000000"/>
          <w:sz w:val="32"/>
          <w:szCs w:val="32"/>
        </w:rPr>
        <w:t>第二十一条 上肢残缺影响板书写字，不合格；两下肢不等长，借助辅助工具仍不能独自站立行走，不合格。</w:t>
      </w:r>
    </w:p>
    <w:p w14:paraId="1EBBAC78">
      <w:pPr>
        <w:pStyle w:val="8"/>
        <w:widowControl w:val="0"/>
        <w:spacing w:before="0" w:beforeAutospacing="0" w:after="0" w:afterAutospacing="0" w:line="550" w:lineRule="exact"/>
        <w:ind w:firstLine="640" w:firstLineChars="200"/>
        <w:jc w:val="both"/>
        <w:rPr>
          <w:rFonts w:ascii="仿宋_GB2312" w:hAnsi="&amp;quot" w:eastAsia="仿宋_GB2312"/>
          <w:color w:val="000000"/>
          <w:sz w:val="32"/>
          <w:szCs w:val="32"/>
        </w:rPr>
      </w:pPr>
      <w:r>
        <w:rPr>
          <w:rFonts w:hint="eastAsia" w:ascii="仿宋_GB2312" w:hAnsi="&amp;quot" w:eastAsia="仿宋_GB2312"/>
          <w:color w:val="000000"/>
          <w:sz w:val="32"/>
          <w:szCs w:val="32"/>
        </w:rPr>
        <w:t>第二十二条 双耳均有听力障碍，在使用人工听觉装置情况下，双耳在3米以内仍听不见正常讲话，不合格。</w:t>
      </w:r>
    </w:p>
    <w:p w14:paraId="317EAC63">
      <w:pPr>
        <w:pStyle w:val="8"/>
        <w:widowControl w:val="0"/>
        <w:spacing w:before="0" w:beforeAutospacing="0" w:after="0" w:afterAutospacing="0" w:line="550" w:lineRule="exact"/>
        <w:ind w:firstLine="640" w:firstLineChars="200"/>
        <w:jc w:val="both"/>
        <w:rPr>
          <w:rFonts w:ascii="仿宋_GB2312" w:hAnsi="&amp;quot" w:eastAsia="仿宋_GB2312"/>
          <w:color w:val="000000"/>
          <w:sz w:val="32"/>
          <w:szCs w:val="32"/>
        </w:rPr>
      </w:pPr>
      <w:r>
        <w:rPr>
          <w:rFonts w:hint="eastAsia" w:ascii="仿宋_GB2312" w:hAnsi="&amp;quot" w:eastAsia="仿宋_GB2312"/>
          <w:color w:val="000000"/>
          <w:sz w:val="32"/>
          <w:szCs w:val="32"/>
        </w:rPr>
        <w:t>第</w:t>
      </w:r>
      <w:r>
        <w:rPr>
          <w:rFonts w:hint="eastAsia" w:ascii="仿宋_GB2312" w:hAnsi="&amp;quot" w:eastAsia="仿宋_GB2312"/>
          <w:color w:val="000000"/>
          <w:spacing w:val="-6"/>
          <w:sz w:val="32"/>
          <w:szCs w:val="32"/>
        </w:rPr>
        <w:t>二十三条 严重口吃，口腔有生理缺陷并妨碍发音，不合格</w:t>
      </w:r>
      <w:r>
        <w:rPr>
          <w:rFonts w:hint="eastAsia" w:ascii="仿宋_GB2312" w:hAnsi="&amp;quot" w:eastAsia="仿宋_GB2312"/>
          <w:color w:val="000000"/>
          <w:sz w:val="32"/>
          <w:szCs w:val="32"/>
        </w:rPr>
        <w:t>。</w:t>
      </w:r>
    </w:p>
    <w:p w14:paraId="4DC5ACD1">
      <w:pPr>
        <w:pStyle w:val="8"/>
        <w:widowControl w:val="0"/>
        <w:spacing w:before="0" w:beforeAutospacing="0" w:after="0" w:afterAutospacing="0" w:line="550" w:lineRule="exact"/>
        <w:ind w:firstLine="640" w:firstLineChars="200"/>
        <w:jc w:val="both"/>
        <w:rPr>
          <w:rFonts w:ascii="仿宋_GB2312" w:hAnsi="&amp;quot" w:eastAsia="仿宋_GB2312"/>
          <w:color w:val="000000"/>
          <w:sz w:val="32"/>
          <w:szCs w:val="32"/>
        </w:rPr>
      </w:pPr>
      <w:r>
        <w:rPr>
          <w:rFonts w:hint="eastAsia" w:ascii="仿宋_GB2312" w:hAnsi="&amp;quot" w:eastAsia="仿宋_GB2312"/>
          <w:color w:val="000000"/>
          <w:sz w:val="32"/>
          <w:szCs w:val="32"/>
        </w:rPr>
        <w:t>第二十四条 申请认定幼儿园教师资格，女性须增加滴虫、外阴阴道假丝酵母菌（念球菌）两项检查，阳性为不合格。</w:t>
      </w:r>
    </w:p>
    <w:p w14:paraId="23F94437">
      <w:pPr>
        <w:pStyle w:val="8"/>
        <w:widowControl w:val="0"/>
        <w:spacing w:before="0" w:beforeAutospacing="0" w:after="0" w:afterAutospacing="0" w:line="550" w:lineRule="exact"/>
        <w:ind w:firstLine="640" w:firstLineChars="200"/>
        <w:jc w:val="both"/>
        <w:rPr>
          <w:rFonts w:ascii="仿宋_GB2312" w:hAnsi="&amp;quot" w:eastAsia="仿宋_GB2312"/>
          <w:color w:val="000000"/>
          <w:sz w:val="32"/>
          <w:szCs w:val="32"/>
        </w:rPr>
      </w:pPr>
      <w:r>
        <w:rPr>
          <w:rFonts w:hint="eastAsia" w:ascii="仿宋_GB2312" w:hAnsi="&amp;quot" w:eastAsia="仿宋_GB2312"/>
          <w:color w:val="000000"/>
          <w:sz w:val="32"/>
          <w:szCs w:val="32"/>
        </w:rPr>
        <w:t>第二十五条 怀孕人员持有怀孕证明经指定医院确认后，或在指定医院检查确诊怀孕后，免予放射科项目检查。</w:t>
      </w:r>
    </w:p>
    <w:p w14:paraId="02C2B44B">
      <w:pPr>
        <w:pStyle w:val="8"/>
        <w:widowControl w:val="0"/>
        <w:spacing w:before="0" w:beforeAutospacing="0" w:after="0" w:afterAutospacing="0" w:line="550" w:lineRule="exact"/>
        <w:ind w:firstLine="640" w:firstLineChars="200"/>
        <w:jc w:val="both"/>
        <w:rPr>
          <w:rFonts w:ascii="仿宋_GB2312" w:hAnsi="&amp;quot" w:eastAsia="仿宋_GB2312"/>
          <w:color w:val="000000"/>
          <w:sz w:val="32"/>
          <w:szCs w:val="32"/>
        </w:rPr>
      </w:pPr>
      <w:r>
        <w:rPr>
          <w:rFonts w:hint="eastAsia" w:ascii="仿宋_GB2312" w:hAnsi="&amp;quot" w:eastAsia="仿宋_GB2312"/>
          <w:color w:val="000000"/>
          <w:sz w:val="32"/>
          <w:szCs w:val="32"/>
        </w:rPr>
        <w:t>第二十六条 持有《中华人民共和国残疾人证》且核定为视力残疾，申请认定特殊教育教师资格，免予视力检测项目；持有《中华人民共和国残疾人证》且核定为听力残疾，申请认定特殊教育教师资格，免予听力检测项目。</w:t>
      </w:r>
    </w:p>
    <w:p w14:paraId="0ED1789F">
      <w:pPr>
        <w:pStyle w:val="8"/>
        <w:widowControl w:val="0"/>
        <w:spacing w:before="0" w:beforeAutospacing="0" w:after="0" w:afterAutospacing="0" w:line="550" w:lineRule="exact"/>
        <w:ind w:firstLine="640" w:firstLineChars="200"/>
        <w:jc w:val="both"/>
        <w:rPr>
          <w:rFonts w:ascii="仿宋_GB2312" w:eastAsia="仿宋_GB2312"/>
          <w:sz w:val="28"/>
          <w:szCs w:val="32"/>
        </w:rPr>
      </w:pPr>
      <w:r>
        <w:rPr>
          <w:rFonts w:hint="eastAsia" w:ascii="仿宋_GB2312" w:hAnsi="&amp;quot" w:eastAsia="仿宋_GB2312"/>
          <w:color w:val="000000"/>
          <w:sz w:val="32"/>
          <w:szCs w:val="32"/>
        </w:rPr>
        <w:t>第二十七条 未纳入体检标准，影响正常履行职责的其他疾病，不合格。</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588" w:bottom="1871" w:left="1588" w:header="851" w:footer="1191"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F3B44FD-F5A7-4029-ACB1-9E67D9F932D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0AB76BE-2A1C-419A-B0E7-245CC4998B9C}"/>
  </w:font>
  <w:font w:name="等线">
    <w:panose1 w:val="02010600030101010101"/>
    <w:charset w:val="86"/>
    <w:family w:val="roman"/>
    <w:pitch w:val="default"/>
    <w:sig w:usb0="A00002BF" w:usb1="38CF7CFA" w:usb2="00000016" w:usb3="00000000" w:csb0="0004000F" w:csb1="00000000"/>
  </w:font>
  <w:font w:name="&amp;quot">
    <w:altName w:val="Cambria"/>
    <w:panose1 w:val="00000000000000000000"/>
    <w:charset w:val="00"/>
    <w:family w:val="roman"/>
    <w:pitch w:val="default"/>
    <w:sig w:usb0="00000000" w:usb1="00000000" w:usb2="00000000" w:usb3="00000000" w:csb0="00040001" w:csb1="00000000"/>
    <w:embedRegular r:id="rId3" w:fontKey="{A664B454-44E0-42E8-A6D6-CF9109D14F1D}"/>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72AAF4F5-A19D-4A21-9574-DD1D237FF7BE}"/>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5" w:fontKey="{D0A1EAC2-9FCE-4E4F-BAD2-A7AD1E9D729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1F010">
    <w:pPr>
      <w:pStyle w:val="6"/>
      <w:ind w:firstLine="560"/>
      <w:jc w:val="right"/>
      <w:rPr>
        <w:rFonts w:ascii="宋体" w:hAnsi="宋体" w:eastAsia="宋体"/>
        <w:sz w:val="28"/>
      </w:rPr>
    </w:pPr>
    <w:r>
      <w:rPr>
        <w:rFonts w:hint="eastAsia" w:ascii="宋体" w:hAnsi="宋体" w:eastAsia="宋体"/>
        <w:color w:val="FFFFFF"/>
        <w:sz w:val="28"/>
      </w:rPr>
      <w:t>—</w:t>
    </w:r>
    <w:r>
      <w:rPr>
        <w:rFonts w:hint="eastAsia"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lang w:val="zh-CN"/>
      </w:rPr>
      <w:t>2</w:t>
    </w:r>
    <w:r>
      <w:rPr>
        <w:rFonts w:ascii="宋体" w:hAnsi="宋体" w:eastAsia="宋体"/>
        <w:sz w:val="28"/>
      </w:rPr>
      <w:fldChar w:fldCharType="end"/>
    </w:r>
    <w:r>
      <w:rPr>
        <w:rFonts w:hint="eastAsia" w:ascii="宋体" w:hAnsi="宋体" w:eastAsia="宋体"/>
        <w:sz w:val="28"/>
      </w:rPr>
      <w:t xml:space="preserve"> —</w:t>
    </w:r>
    <w:r>
      <w:rPr>
        <w:rFonts w:hint="eastAsia" w:ascii="宋体" w:hAnsi="宋体" w:eastAsia="宋体"/>
        <w:color w:val="FFFFFF"/>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ED548">
    <w:pPr>
      <w:pStyle w:val="6"/>
      <w:ind w:firstLine="560"/>
      <w:rPr>
        <w:rFonts w:ascii="宋体" w:hAnsi="宋体" w:eastAsia="宋体"/>
        <w:sz w:val="28"/>
      </w:rPr>
    </w:pPr>
    <w:r>
      <w:rPr>
        <w:rFonts w:hint="eastAsia" w:ascii="宋体" w:hAnsi="宋体" w:eastAsia="宋体"/>
        <w:color w:val="FFFFFF"/>
        <w:sz w:val="28"/>
      </w:rPr>
      <w:t>—</w:t>
    </w:r>
    <w:r>
      <w:rPr>
        <w:rFonts w:hint="eastAsia"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lang w:val="zh-CN"/>
      </w:rPr>
      <w:t>12</w:t>
    </w:r>
    <w:r>
      <w:rPr>
        <w:rFonts w:ascii="宋体" w:hAnsi="宋体" w:eastAsia="宋体"/>
        <w:sz w:val="28"/>
      </w:rPr>
      <w:fldChar w:fldCharType="end"/>
    </w:r>
    <w:r>
      <w:rPr>
        <w:rFonts w:hint="eastAsia" w:ascii="宋体" w:hAnsi="宋体" w:eastAsia="宋体"/>
        <w:sz w:val="28"/>
      </w:rPr>
      <w:t xml:space="preserve"> —</w:t>
    </w:r>
    <w:r>
      <w:rPr>
        <w:rFonts w:hint="eastAsia" w:ascii="宋体" w:hAnsi="宋体" w:eastAsia="宋体"/>
        <w:color w:val="FFFFFF"/>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A0DA4">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C4934">
    <w:pPr>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9863A">
    <w:pPr>
      <w:pStyle w:val="7"/>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62D66">
    <w:pPr>
      <w:pStyle w:val="7"/>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62127"/>
    <w:rsid w:val="00497111"/>
    <w:rsid w:val="00504246"/>
    <w:rsid w:val="005D0A9F"/>
    <w:rsid w:val="00662127"/>
    <w:rsid w:val="007D20BB"/>
    <w:rsid w:val="00921A1C"/>
    <w:rsid w:val="00BF1036"/>
    <w:rsid w:val="00C25E15"/>
    <w:rsid w:val="1D954013"/>
    <w:rsid w:val="247B0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200" w:firstLineChars="200"/>
      <w:jc w:val="both"/>
    </w:pPr>
    <w:rPr>
      <w:rFonts w:ascii="等线" w:hAnsi="等线" w:eastAsia="等线" w:cs="Times New Roman"/>
      <w:kern w:val="2"/>
      <w:sz w:val="21"/>
      <w:szCs w:val="22"/>
      <w:lang w:val="en-US" w:eastAsia="zh-CN" w:bidi="ar-SA"/>
    </w:rPr>
  </w:style>
  <w:style w:type="paragraph" w:styleId="2">
    <w:name w:val="heading 3"/>
    <w:basedOn w:val="1"/>
    <w:next w:val="1"/>
    <w:link w:val="15"/>
    <w:qFormat/>
    <w:uiPriority w:val="0"/>
    <w:pPr>
      <w:keepNext/>
      <w:keepLines/>
      <w:widowControl w:val="0"/>
      <w:spacing w:before="260" w:after="260" w:line="413" w:lineRule="auto"/>
      <w:ind w:firstLine="0" w:firstLineChars="0"/>
      <w:outlineLvl w:val="2"/>
    </w:pPr>
    <w:rPr>
      <w:b/>
      <w:kern w:val="0"/>
      <w:sz w:val="32"/>
      <w:szCs w:val="2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semiHidden/>
    <w:qFormat/>
    <w:uiPriority w:val="0"/>
    <w:pPr>
      <w:jc w:val="left"/>
    </w:pPr>
    <w:rPr>
      <w:kern w:val="0"/>
      <w:sz w:val="20"/>
      <w:szCs w:val="20"/>
    </w:rPr>
  </w:style>
  <w:style w:type="paragraph" w:styleId="4">
    <w:name w:val="Body Text Indent"/>
    <w:basedOn w:val="1"/>
    <w:link w:val="17"/>
    <w:qFormat/>
    <w:uiPriority w:val="0"/>
    <w:pPr>
      <w:widowControl w:val="0"/>
      <w:ind w:firstLine="741"/>
      <w:jc w:val="center"/>
    </w:pPr>
    <w:rPr>
      <w:rFonts w:ascii="黑体" w:eastAsia="黑体"/>
      <w:b/>
      <w:bCs/>
      <w:kern w:val="0"/>
      <w:sz w:val="36"/>
      <w:szCs w:val="32"/>
    </w:rPr>
  </w:style>
  <w:style w:type="paragraph" w:styleId="5">
    <w:name w:val="Balloon Text"/>
    <w:basedOn w:val="1"/>
    <w:link w:val="18"/>
    <w:unhideWhenUsed/>
    <w:qFormat/>
    <w:uiPriority w:val="0"/>
    <w:rPr>
      <w:kern w:val="0"/>
      <w:sz w:val="18"/>
      <w:szCs w:val="18"/>
    </w:rPr>
  </w:style>
  <w:style w:type="paragraph" w:styleId="6">
    <w:name w:val="footer"/>
    <w:basedOn w:val="1"/>
    <w:link w:val="19"/>
    <w:unhideWhenUsed/>
    <w:qFormat/>
    <w:uiPriority w:val="99"/>
    <w:pPr>
      <w:tabs>
        <w:tab w:val="center" w:pos="4153"/>
        <w:tab w:val="right" w:pos="8306"/>
      </w:tabs>
      <w:snapToGrid w:val="0"/>
      <w:jc w:val="left"/>
    </w:pPr>
    <w:rPr>
      <w:kern w:val="0"/>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Normal (Web)"/>
    <w:basedOn w:val="1"/>
    <w:qFormat/>
    <w:uiPriority w:val="0"/>
    <w:pPr>
      <w:spacing w:before="100" w:beforeAutospacing="1" w:after="100" w:afterAutospacing="1"/>
      <w:ind w:firstLine="0" w:firstLineChars="0"/>
      <w:jc w:val="left"/>
    </w:pPr>
    <w:rPr>
      <w:rFonts w:ascii="宋体" w:hAnsi="宋体" w:eastAsia="宋体" w:cs="宋体"/>
      <w:kern w:val="0"/>
      <w:sz w:val="24"/>
      <w:szCs w:val="24"/>
    </w:rPr>
  </w:style>
  <w:style w:type="table" w:styleId="10">
    <w:name w:val="Table Grid"/>
    <w:basedOn w:val="9"/>
    <w:qFormat/>
    <w:uiPriority w:val="0"/>
    <w:pPr>
      <w:widowControl w:val="0"/>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Emphasis"/>
    <w:qFormat/>
    <w:uiPriority w:val="20"/>
    <w:rPr>
      <w:i/>
      <w:iCs/>
    </w:rPr>
  </w:style>
  <w:style w:type="character" w:styleId="14">
    <w:name w:val="annotation reference"/>
    <w:semiHidden/>
    <w:qFormat/>
    <w:uiPriority w:val="0"/>
    <w:rPr>
      <w:sz w:val="21"/>
      <w:szCs w:val="21"/>
    </w:rPr>
  </w:style>
  <w:style w:type="character" w:customStyle="1" w:styleId="15">
    <w:name w:val="标题 3 Char"/>
    <w:basedOn w:val="11"/>
    <w:link w:val="2"/>
    <w:qFormat/>
    <w:uiPriority w:val="0"/>
    <w:rPr>
      <w:rFonts w:ascii="等线" w:hAnsi="等线" w:eastAsia="等线" w:cs="Times New Roman"/>
      <w:b/>
      <w:kern w:val="0"/>
      <w:sz w:val="32"/>
      <w:szCs w:val="24"/>
    </w:rPr>
  </w:style>
  <w:style w:type="character" w:customStyle="1" w:styleId="16">
    <w:name w:val="批注文字 Char"/>
    <w:basedOn w:val="11"/>
    <w:link w:val="3"/>
    <w:semiHidden/>
    <w:qFormat/>
    <w:uiPriority w:val="0"/>
    <w:rPr>
      <w:rFonts w:ascii="等线" w:hAnsi="等线" w:eastAsia="等线" w:cs="Times New Roman"/>
      <w:kern w:val="0"/>
      <w:sz w:val="20"/>
      <w:szCs w:val="20"/>
    </w:rPr>
  </w:style>
  <w:style w:type="character" w:customStyle="1" w:styleId="17">
    <w:name w:val="正文文本缩进 Char"/>
    <w:basedOn w:val="11"/>
    <w:link w:val="4"/>
    <w:qFormat/>
    <w:uiPriority w:val="0"/>
    <w:rPr>
      <w:rFonts w:ascii="黑体" w:hAnsi="等线" w:eastAsia="黑体" w:cs="Times New Roman"/>
      <w:b/>
      <w:bCs/>
      <w:kern w:val="0"/>
      <w:sz w:val="36"/>
      <w:szCs w:val="32"/>
    </w:rPr>
  </w:style>
  <w:style w:type="character" w:customStyle="1" w:styleId="18">
    <w:name w:val="批注框文本 Char"/>
    <w:basedOn w:val="11"/>
    <w:link w:val="5"/>
    <w:qFormat/>
    <w:uiPriority w:val="0"/>
    <w:rPr>
      <w:rFonts w:ascii="等线" w:hAnsi="等线" w:eastAsia="等线" w:cs="Times New Roman"/>
      <w:kern w:val="0"/>
      <w:sz w:val="18"/>
      <w:szCs w:val="18"/>
    </w:rPr>
  </w:style>
  <w:style w:type="character" w:customStyle="1" w:styleId="19">
    <w:name w:val="页脚 Char"/>
    <w:basedOn w:val="11"/>
    <w:link w:val="6"/>
    <w:qFormat/>
    <w:uiPriority w:val="99"/>
    <w:rPr>
      <w:rFonts w:ascii="等线" w:hAnsi="等线" w:eastAsia="等线" w:cs="Times New Roman"/>
      <w:kern w:val="0"/>
      <w:sz w:val="18"/>
      <w:szCs w:val="18"/>
    </w:rPr>
  </w:style>
  <w:style w:type="character" w:customStyle="1" w:styleId="20">
    <w:name w:val="页眉 Char"/>
    <w:basedOn w:val="11"/>
    <w:link w:val="7"/>
    <w:qFormat/>
    <w:uiPriority w:val="99"/>
    <w:rPr>
      <w:rFonts w:ascii="等线" w:hAnsi="等线" w:eastAsia="等线" w:cs="Times New Roman"/>
      <w:kern w:val="0"/>
      <w:sz w:val="18"/>
      <w:szCs w:val="18"/>
    </w:rPr>
  </w:style>
  <w:style w:type="paragraph" w:styleId="21">
    <w:name w:val="List Paragraph"/>
    <w:basedOn w:val="1"/>
    <w:qFormat/>
    <w:uiPriority w:val="34"/>
    <w:pPr>
      <w:ind w:firstLine="420"/>
    </w:pPr>
  </w:style>
  <w:style w:type="table" w:customStyle="1" w:styleId="22">
    <w:name w:val="网格型1"/>
    <w:basedOn w:val="9"/>
    <w:qFormat/>
    <w:uiPriority w:val="0"/>
    <w:pPr>
      <w:widowControl w:val="0"/>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2729</Words>
  <Characters>2768</Characters>
  <Lines>20</Lines>
  <Paragraphs>5</Paragraphs>
  <TotalTime>2</TotalTime>
  <ScaleCrop>false</ScaleCrop>
  <LinksUpToDate>false</LinksUpToDate>
  <CharactersWithSpaces>2796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2024-07-29T07:04:00Z</dcterms:created>
  <dc:creator>admin</dc:creator>
  <cp:lastModifiedBy>赵国栋</cp:lastModifiedBy>
  <dcterms:modified xsi:type="dcterms:W3CDTF">2025-07-22T08:56:50Z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eyJoZGlkIjoiMWU2N2UwZDEzMTI5N2Y3OTVkZjljOWNlYmQyNGY2MDEiLCJ1c2VySWQiOiIyNjMyNjY5MDQifQ==</vt:lpwstr>
  </property>
  <property fmtid="{D5CDD505-2E9C-101B-9397-08002B2CF9AE}" pid="3" name="KSOProductBuildVer">
    <vt:lpwstr>2052-12.1.0.21915</vt:lpwstr>
  </property>
  <property fmtid="{D5CDD505-2E9C-101B-9397-08002B2CF9AE}" pid="4" name="ICV">
    <vt:lpwstr>2FE77118F69A4EA18C987665E756A82F_12</vt:lpwstr>
  </property>
</Properties>
</file>